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A5" w:rsidRPr="00352225" w:rsidRDefault="004B32A5" w:rsidP="00352225">
      <w:pPr>
        <w:spacing w:line="240" w:lineRule="atLeast"/>
        <w:jc w:val="both"/>
        <w:rPr>
          <w:rFonts w:ascii="Arial" w:eastAsia="Arial" w:hAnsi="Arial" w:cs="Arial"/>
          <w:b/>
          <w:color w:val="000000"/>
          <w:sz w:val="22"/>
          <w:szCs w:val="22"/>
        </w:rPr>
      </w:pPr>
    </w:p>
    <w:p w:rsidR="009851C4" w:rsidRPr="00352225" w:rsidRDefault="00BE263F" w:rsidP="00352225">
      <w:pPr>
        <w:spacing w:line="240" w:lineRule="atLeast"/>
        <w:jc w:val="both"/>
        <w:rPr>
          <w:rFonts w:ascii="Arial" w:eastAsia="Arial" w:hAnsi="Arial" w:cs="Arial"/>
          <w:color w:val="000000"/>
          <w:sz w:val="22"/>
          <w:szCs w:val="22"/>
        </w:rPr>
      </w:pPr>
      <w:r w:rsidRPr="00352225">
        <w:rPr>
          <w:rFonts w:ascii="Arial" w:eastAsia="Arial" w:hAnsi="Arial" w:cs="Arial"/>
          <w:color w:val="000000"/>
          <w:sz w:val="22"/>
          <w:szCs w:val="22"/>
        </w:rPr>
        <w:t>Ljubljana</w:t>
      </w:r>
      <w:r w:rsidR="0089653B" w:rsidRPr="00352225">
        <w:rPr>
          <w:rFonts w:ascii="Arial" w:eastAsia="Arial" w:hAnsi="Arial" w:cs="Arial"/>
          <w:color w:val="000000"/>
          <w:sz w:val="22"/>
          <w:szCs w:val="22"/>
        </w:rPr>
        <w:t xml:space="preserve">, </w:t>
      </w:r>
      <w:r w:rsidR="006A587D" w:rsidRPr="00352225">
        <w:rPr>
          <w:rFonts w:ascii="Arial" w:eastAsia="Arial" w:hAnsi="Arial" w:cs="Arial"/>
          <w:color w:val="000000"/>
          <w:sz w:val="22"/>
          <w:szCs w:val="22"/>
        </w:rPr>
        <w:t>2</w:t>
      </w:r>
      <w:r w:rsidR="00AE4757" w:rsidRPr="00352225">
        <w:rPr>
          <w:rFonts w:ascii="Arial" w:eastAsia="Arial" w:hAnsi="Arial" w:cs="Arial"/>
          <w:color w:val="000000"/>
          <w:sz w:val="22"/>
          <w:szCs w:val="22"/>
        </w:rPr>
        <w:t>2</w:t>
      </w:r>
      <w:r w:rsidR="0089653B" w:rsidRPr="00352225">
        <w:rPr>
          <w:rFonts w:ascii="Arial" w:eastAsia="Arial" w:hAnsi="Arial" w:cs="Arial"/>
          <w:color w:val="000000"/>
          <w:sz w:val="22"/>
          <w:szCs w:val="22"/>
        </w:rPr>
        <w:t xml:space="preserve">. </w:t>
      </w:r>
      <w:r w:rsidR="00AE4757" w:rsidRPr="00352225">
        <w:rPr>
          <w:rFonts w:ascii="Arial" w:eastAsia="Arial" w:hAnsi="Arial" w:cs="Arial"/>
          <w:color w:val="000000"/>
          <w:sz w:val="22"/>
          <w:szCs w:val="22"/>
        </w:rPr>
        <w:t>11</w:t>
      </w:r>
      <w:r w:rsidR="0089653B" w:rsidRPr="00352225">
        <w:rPr>
          <w:rFonts w:ascii="Arial" w:eastAsia="Arial" w:hAnsi="Arial" w:cs="Arial"/>
          <w:color w:val="000000"/>
          <w:sz w:val="22"/>
          <w:szCs w:val="22"/>
        </w:rPr>
        <w:t>. 20</w:t>
      </w:r>
      <w:r w:rsidRPr="00352225">
        <w:rPr>
          <w:rFonts w:ascii="Arial" w:eastAsia="Arial" w:hAnsi="Arial" w:cs="Arial"/>
          <w:color w:val="000000"/>
          <w:sz w:val="22"/>
          <w:szCs w:val="22"/>
        </w:rPr>
        <w:t>21</w:t>
      </w:r>
    </w:p>
    <w:p w:rsidR="004B32A5" w:rsidRPr="00352225" w:rsidRDefault="004B32A5" w:rsidP="00352225">
      <w:pPr>
        <w:spacing w:line="240" w:lineRule="atLeast"/>
        <w:jc w:val="both"/>
        <w:rPr>
          <w:rFonts w:ascii="Arial" w:eastAsia="Arial" w:hAnsi="Arial" w:cs="Arial"/>
          <w:b/>
          <w:color w:val="3A4A3E"/>
          <w:sz w:val="22"/>
          <w:szCs w:val="22"/>
        </w:rPr>
      </w:pPr>
    </w:p>
    <w:p w:rsidR="00FF7368" w:rsidRPr="00352225" w:rsidRDefault="00FF7368" w:rsidP="00352225">
      <w:pPr>
        <w:spacing w:line="240" w:lineRule="atLeast"/>
        <w:jc w:val="both"/>
        <w:rPr>
          <w:rFonts w:ascii="Arial" w:eastAsia="Arial" w:hAnsi="Arial" w:cs="Arial"/>
          <w:b/>
          <w:sz w:val="22"/>
          <w:szCs w:val="22"/>
        </w:rPr>
      </w:pPr>
    </w:p>
    <w:p w:rsidR="009851C4" w:rsidRPr="00352225" w:rsidRDefault="009851C4" w:rsidP="00352225">
      <w:pPr>
        <w:spacing w:line="240" w:lineRule="atLeast"/>
        <w:jc w:val="both"/>
        <w:rPr>
          <w:rFonts w:ascii="Arial" w:eastAsia="Arial" w:hAnsi="Arial" w:cs="Arial"/>
          <w:b/>
          <w:sz w:val="22"/>
          <w:szCs w:val="22"/>
        </w:rPr>
      </w:pPr>
    </w:p>
    <w:p w:rsidR="006A587D" w:rsidRPr="00352225" w:rsidRDefault="006A587D" w:rsidP="00352225">
      <w:pPr>
        <w:spacing w:line="240" w:lineRule="atLeast"/>
        <w:jc w:val="both"/>
        <w:rPr>
          <w:rFonts w:ascii="Arial" w:eastAsia="Arial" w:hAnsi="Arial" w:cs="Arial"/>
          <w:sz w:val="22"/>
          <w:szCs w:val="22"/>
        </w:rPr>
      </w:pPr>
    </w:p>
    <w:p w:rsidR="00114875" w:rsidRPr="00352225" w:rsidRDefault="00114875" w:rsidP="00352225">
      <w:pPr>
        <w:spacing w:line="240" w:lineRule="atLeast"/>
        <w:jc w:val="both"/>
        <w:rPr>
          <w:rFonts w:ascii="Arial" w:eastAsia="Arial" w:hAnsi="Arial" w:cs="Arial"/>
          <w:sz w:val="22"/>
          <w:szCs w:val="22"/>
        </w:rPr>
      </w:pPr>
    </w:p>
    <w:p w:rsidR="001C5A52" w:rsidRDefault="00B5313D" w:rsidP="00352225">
      <w:pPr>
        <w:spacing w:line="240" w:lineRule="atLeast"/>
        <w:jc w:val="both"/>
        <w:rPr>
          <w:rFonts w:ascii="Arial" w:eastAsia="Arial" w:hAnsi="Arial" w:cs="Arial"/>
          <w:b/>
          <w:color w:val="3A4A3E"/>
          <w:sz w:val="40"/>
          <w:szCs w:val="40"/>
          <w:lang w:eastAsia="sl-SI"/>
        </w:rPr>
      </w:pPr>
      <w:r w:rsidRPr="00352225">
        <w:rPr>
          <w:rFonts w:ascii="Arial" w:eastAsia="Arial" w:hAnsi="Arial" w:cs="Arial"/>
          <w:b/>
          <w:color w:val="3A4A3E"/>
          <w:sz w:val="40"/>
          <w:szCs w:val="40"/>
          <w:lang w:eastAsia="sl-SI"/>
        </w:rPr>
        <w:t>Odgovori na najpogostejša vprašanja</w:t>
      </w:r>
      <w:r w:rsidR="001C5A52">
        <w:rPr>
          <w:rFonts w:ascii="Arial" w:eastAsia="Arial" w:hAnsi="Arial" w:cs="Arial"/>
          <w:b/>
          <w:color w:val="3A4A3E"/>
          <w:sz w:val="40"/>
          <w:szCs w:val="40"/>
          <w:lang w:eastAsia="sl-SI"/>
        </w:rPr>
        <w:t xml:space="preserve"> (FAQ) </w:t>
      </w:r>
    </w:p>
    <w:p w:rsidR="001C5A52" w:rsidRPr="00352225" w:rsidRDefault="001C5A52" w:rsidP="00352225">
      <w:pPr>
        <w:spacing w:line="240" w:lineRule="atLeast"/>
        <w:jc w:val="both"/>
        <w:rPr>
          <w:rFonts w:ascii="Arial" w:eastAsia="Arial" w:hAnsi="Arial" w:cs="Arial"/>
          <w:b/>
          <w:color w:val="3A4A3E"/>
          <w:sz w:val="40"/>
          <w:szCs w:val="40"/>
          <w:lang w:eastAsia="sl-SI"/>
        </w:rPr>
      </w:pPr>
      <w:r>
        <w:rPr>
          <w:rFonts w:ascii="Arial" w:eastAsia="Arial" w:hAnsi="Arial" w:cs="Arial"/>
          <w:b/>
          <w:color w:val="3A4A3E"/>
          <w:sz w:val="40"/>
          <w:szCs w:val="40"/>
          <w:lang w:eastAsia="sl-SI"/>
        </w:rPr>
        <w:t>na pilotna razpisa</w:t>
      </w:r>
    </w:p>
    <w:p w:rsidR="001C5A52" w:rsidRDefault="001C5A52" w:rsidP="00352225">
      <w:pPr>
        <w:spacing w:line="240" w:lineRule="atLeast"/>
        <w:jc w:val="both"/>
        <w:rPr>
          <w:rFonts w:ascii="Arial" w:eastAsia="Arial" w:hAnsi="Arial" w:cs="Arial"/>
          <w:b/>
          <w:color w:val="3A4A3E"/>
          <w:sz w:val="28"/>
          <w:szCs w:val="28"/>
          <w:lang w:eastAsia="sl-SI"/>
        </w:rPr>
      </w:pPr>
    </w:p>
    <w:p w:rsidR="00114875" w:rsidRDefault="0083389F" w:rsidP="00352225">
      <w:pPr>
        <w:spacing w:line="240" w:lineRule="atLeast"/>
        <w:jc w:val="both"/>
        <w:rPr>
          <w:rFonts w:ascii="Arial" w:eastAsia="Arial" w:hAnsi="Arial" w:cs="Arial"/>
          <w:b/>
          <w:color w:val="3A4A3E"/>
          <w:sz w:val="28"/>
          <w:szCs w:val="28"/>
          <w:lang w:eastAsia="sl-SI"/>
        </w:rPr>
      </w:pPr>
      <w:r w:rsidRPr="00352225">
        <w:rPr>
          <w:rFonts w:ascii="Arial" w:eastAsia="Arial" w:hAnsi="Arial" w:cs="Arial"/>
          <w:b/>
          <w:color w:val="3A4A3E"/>
          <w:sz w:val="28"/>
          <w:szCs w:val="28"/>
          <w:lang w:eastAsia="sl-SI"/>
        </w:rPr>
        <w:t xml:space="preserve">Javni razpis </w:t>
      </w:r>
      <w:r w:rsidR="00FB39EC" w:rsidRPr="00352225">
        <w:rPr>
          <w:rFonts w:ascii="Arial" w:eastAsia="Arial" w:hAnsi="Arial" w:cs="Arial"/>
          <w:b/>
          <w:color w:val="3A4A3E"/>
          <w:sz w:val="28"/>
          <w:szCs w:val="28"/>
          <w:lang w:eastAsia="sl-SI"/>
        </w:rPr>
        <w:t>Krediti v breme rezervnega sklada in nepovratne finančne spodbude za pilotne projekte skupnih naložb celovite prenove starejših večstanovanjskih stavb</w:t>
      </w:r>
    </w:p>
    <w:p w:rsidR="001C5A52" w:rsidRDefault="001C5A52" w:rsidP="00352225">
      <w:pPr>
        <w:spacing w:line="240" w:lineRule="atLeast"/>
        <w:jc w:val="both"/>
        <w:rPr>
          <w:rFonts w:ascii="Arial" w:eastAsia="Arial" w:hAnsi="Arial" w:cs="Arial"/>
          <w:b/>
          <w:color w:val="3A4A3E"/>
          <w:sz w:val="28"/>
          <w:szCs w:val="28"/>
          <w:lang w:eastAsia="sl-SI"/>
        </w:rPr>
      </w:pPr>
    </w:p>
    <w:p w:rsidR="00352225" w:rsidRDefault="00352225" w:rsidP="00352225">
      <w:pPr>
        <w:spacing w:line="240" w:lineRule="atLeast"/>
        <w:jc w:val="both"/>
        <w:rPr>
          <w:rFonts w:ascii="Arial" w:eastAsia="Arial" w:hAnsi="Arial" w:cs="Arial"/>
          <w:b/>
          <w:color w:val="3A4A3E"/>
          <w:sz w:val="28"/>
          <w:szCs w:val="28"/>
          <w:lang w:eastAsia="sl-SI"/>
        </w:rPr>
      </w:pPr>
      <w:r>
        <w:rPr>
          <w:rFonts w:ascii="Arial" w:eastAsia="Arial" w:hAnsi="Arial" w:cs="Arial"/>
          <w:b/>
          <w:color w:val="3A4A3E"/>
          <w:sz w:val="28"/>
          <w:szCs w:val="28"/>
          <w:lang w:eastAsia="sl-SI"/>
        </w:rPr>
        <w:t>in</w:t>
      </w:r>
    </w:p>
    <w:p w:rsidR="001C5A52" w:rsidRDefault="001C5A52" w:rsidP="001C5A52">
      <w:pPr>
        <w:spacing w:line="240" w:lineRule="atLeast"/>
        <w:jc w:val="both"/>
        <w:rPr>
          <w:rFonts w:ascii="Arial" w:eastAsia="Arial" w:hAnsi="Arial" w:cs="Arial"/>
          <w:b/>
          <w:color w:val="3A4A3E"/>
          <w:sz w:val="28"/>
          <w:szCs w:val="28"/>
          <w:lang w:eastAsia="sl-SI"/>
        </w:rPr>
      </w:pPr>
    </w:p>
    <w:p w:rsidR="00352225" w:rsidRPr="00352225" w:rsidRDefault="00352225" w:rsidP="00352225">
      <w:pPr>
        <w:spacing w:line="240" w:lineRule="atLeast"/>
        <w:jc w:val="both"/>
        <w:rPr>
          <w:rFonts w:ascii="Arial" w:eastAsia="Arial" w:hAnsi="Arial" w:cs="Arial"/>
          <w:b/>
          <w:color w:val="3A4A3E"/>
          <w:sz w:val="28"/>
          <w:szCs w:val="28"/>
          <w:lang w:eastAsia="sl-SI"/>
        </w:rPr>
      </w:pPr>
      <w:r w:rsidRPr="00352225">
        <w:rPr>
          <w:rFonts w:ascii="Arial" w:eastAsia="Arial" w:hAnsi="Arial" w:cs="Arial"/>
          <w:b/>
          <w:color w:val="3A4A3E"/>
          <w:sz w:val="28"/>
          <w:szCs w:val="28"/>
          <w:lang w:eastAsia="sl-SI"/>
        </w:rPr>
        <w:t xml:space="preserve">Javni razpis </w:t>
      </w:r>
      <w:r w:rsidR="001C5A52" w:rsidRPr="001C5A52">
        <w:rPr>
          <w:rFonts w:ascii="Arial" w:eastAsia="Arial" w:hAnsi="Arial" w:cs="Arial"/>
          <w:b/>
          <w:color w:val="3A4A3E"/>
          <w:sz w:val="28"/>
          <w:szCs w:val="28"/>
          <w:lang w:eastAsia="sl-SI"/>
        </w:rPr>
        <w:t>Nepovratne finančne spodbude za pilotne projekte skupnih naložb celovite prenove</w:t>
      </w:r>
      <w:r w:rsidR="001C5A52">
        <w:rPr>
          <w:rFonts w:ascii="Arial" w:eastAsia="Arial" w:hAnsi="Arial" w:cs="Arial"/>
          <w:b/>
          <w:color w:val="3A4A3E"/>
          <w:sz w:val="28"/>
          <w:szCs w:val="28"/>
          <w:lang w:eastAsia="sl-SI"/>
        </w:rPr>
        <w:t xml:space="preserve"> </w:t>
      </w:r>
      <w:r w:rsidR="001C5A52" w:rsidRPr="001C5A52">
        <w:rPr>
          <w:rFonts w:ascii="Arial" w:eastAsia="Arial" w:hAnsi="Arial" w:cs="Arial"/>
          <w:b/>
          <w:color w:val="3A4A3E"/>
          <w:sz w:val="28"/>
          <w:szCs w:val="28"/>
          <w:lang w:eastAsia="sl-SI"/>
        </w:rPr>
        <w:t>starejših večstanovanjskih stavb, sofinanciranih s strani podjetij za energetske storitve</w:t>
      </w:r>
      <w:r w:rsidR="001C5A52" w:rsidRPr="001C5A52">
        <w:rPr>
          <w:rFonts w:ascii="Arial" w:eastAsia="Arial" w:hAnsi="Arial" w:cs="Arial"/>
          <w:b/>
          <w:color w:val="3A4A3E"/>
          <w:sz w:val="28"/>
          <w:szCs w:val="28"/>
          <w:lang w:eastAsia="sl-SI"/>
        </w:rPr>
        <w:cr/>
      </w:r>
    </w:p>
    <w:p w:rsidR="0083389F" w:rsidRPr="00352225" w:rsidRDefault="0083389F" w:rsidP="00352225">
      <w:pPr>
        <w:spacing w:line="240" w:lineRule="atLeast"/>
        <w:jc w:val="both"/>
        <w:rPr>
          <w:rFonts w:ascii="Arial" w:eastAsia="Arial" w:hAnsi="Arial" w:cs="Arial"/>
          <w:b/>
          <w:sz w:val="22"/>
          <w:szCs w:val="22"/>
        </w:rPr>
      </w:pPr>
    </w:p>
    <w:p w:rsidR="00352225" w:rsidRPr="00634C27" w:rsidRDefault="00352225" w:rsidP="00352225">
      <w:pPr>
        <w:pStyle w:val="Navadensplet"/>
        <w:spacing w:before="0" w:beforeAutospacing="0" w:after="0" w:afterAutospacing="0" w:line="240" w:lineRule="atLeast"/>
        <w:jc w:val="both"/>
        <w:rPr>
          <w:rFonts w:ascii="Arial" w:hAnsi="Arial" w:cs="Arial"/>
          <w:b/>
          <w:bCs/>
          <w:color w:val="000000"/>
          <w:lang w:val="sl-SI"/>
        </w:rPr>
      </w:pPr>
    </w:p>
    <w:p w:rsidR="00005450" w:rsidRPr="00634C27" w:rsidRDefault="00005450" w:rsidP="0031173E">
      <w:pPr>
        <w:pStyle w:val="Navadensplet"/>
        <w:numPr>
          <w:ilvl w:val="0"/>
          <w:numId w:val="17"/>
        </w:numPr>
        <w:spacing w:before="0" w:beforeAutospacing="0" w:after="0" w:afterAutospacing="0" w:line="240" w:lineRule="atLeast"/>
        <w:jc w:val="both"/>
        <w:rPr>
          <w:rFonts w:ascii="Arial" w:hAnsi="Arial" w:cs="Arial"/>
          <w:b/>
          <w:bCs/>
          <w:color w:val="000000"/>
          <w:lang w:val="sl-SI"/>
        </w:rPr>
      </w:pPr>
      <w:r w:rsidRPr="00634C27">
        <w:rPr>
          <w:rFonts w:ascii="Arial" w:hAnsi="Arial" w:cs="Arial"/>
          <w:b/>
          <w:bCs/>
          <w:color w:val="000000"/>
          <w:lang w:val="sl-SI"/>
        </w:rPr>
        <w:t>Komu sta namenjena ta razpisa?</w:t>
      </w:r>
    </w:p>
    <w:p w:rsidR="00005450" w:rsidRPr="00634C27" w:rsidRDefault="00005450" w:rsidP="00352225">
      <w:pPr>
        <w:pStyle w:val="Navadensplet"/>
        <w:spacing w:before="0" w:beforeAutospacing="0" w:after="0" w:afterAutospacing="0" w:line="240" w:lineRule="atLeast"/>
        <w:jc w:val="both"/>
        <w:rPr>
          <w:rFonts w:ascii="Arial" w:eastAsia="Calibri" w:hAnsi="Arial" w:cs="Arial"/>
          <w:lang w:val="sl-SI"/>
        </w:rPr>
      </w:pPr>
      <w:r w:rsidRPr="00634C27">
        <w:rPr>
          <w:rFonts w:ascii="Arial" w:eastAsia="Calibri" w:hAnsi="Arial" w:cs="Arial"/>
          <w:lang w:val="sl-SI"/>
        </w:rPr>
        <w:t xml:space="preserve">Razpisa sta namenjena etažnim lastnikom starejših večstanovanjskih stavb, ki le-te nameravajo celovito prenoviti. </w:t>
      </w:r>
    </w:p>
    <w:p w:rsidR="0031173E" w:rsidRPr="00634C27" w:rsidRDefault="0031173E" w:rsidP="00352225">
      <w:pPr>
        <w:spacing w:line="240" w:lineRule="atLeast"/>
        <w:jc w:val="both"/>
        <w:rPr>
          <w:rFonts w:ascii="Arial" w:hAnsi="Arial" w:cs="Arial"/>
          <w:b/>
          <w:bCs/>
          <w:color w:val="000000"/>
        </w:rPr>
      </w:pPr>
    </w:p>
    <w:p w:rsidR="00CF4114" w:rsidRPr="00634C27" w:rsidRDefault="00CF4114"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Kdo se lahko prijavi oziroma kdo je upravičen do sredstev?</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Upravičene bodo stavbe z več kot 8 deli in več kot 8 različnimi etažnimi lastniki, pri čemer bo morala biti več kot polovica površine stavbe v stanovanjski rabi in več kot polovica vseh etažnih lastnikov fizičnih oseb (občanov). Vlogo na javni razpis lahko odda upravnik ali drug pooblaščenec etažnih lastnikov. Celovito prenovo stavbe bo treba izvesti kot usklajeno izvedbo vsaj treh ukrepov energijske prenove stavbe ali kot skoraj </w:t>
      </w:r>
      <w:proofErr w:type="spellStart"/>
      <w:r w:rsidRPr="00634C27">
        <w:rPr>
          <w:rFonts w:ascii="Arial" w:hAnsi="Arial" w:cs="Arial"/>
        </w:rPr>
        <w:t>ničenergijsko</w:t>
      </w:r>
      <w:proofErr w:type="spellEnd"/>
      <w:r w:rsidRPr="00634C27">
        <w:rPr>
          <w:rFonts w:ascii="Arial" w:hAnsi="Arial" w:cs="Arial"/>
        </w:rPr>
        <w:t xml:space="preserve"> prenovo, skladno s tehničnimi pogoji </w:t>
      </w:r>
      <w:r w:rsidR="00B65AD2">
        <w:rPr>
          <w:rFonts w:ascii="Arial" w:hAnsi="Arial" w:cs="Arial"/>
        </w:rPr>
        <w:t xml:space="preserve">posameznega pilotnega </w:t>
      </w:r>
      <w:r w:rsidRPr="00634C27">
        <w:rPr>
          <w:rFonts w:ascii="Arial" w:hAnsi="Arial" w:cs="Arial"/>
        </w:rPr>
        <w:t>razpisa.</w:t>
      </w:r>
    </w:p>
    <w:p w:rsidR="00114875" w:rsidRPr="00634C27" w:rsidRDefault="00114875" w:rsidP="00352225">
      <w:pPr>
        <w:spacing w:line="240" w:lineRule="atLeast"/>
        <w:jc w:val="both"/>
        <w:rPr>
          <w:rFonts w:ascii="Arial" w:eastAsia="Arial" w:hAnsi="Arial" w:cs="Arial"/>
          <w:b/>
        </w:rPr>
      </w:pPr>
    </w:p>
    <w:p w:rsidR="00CF4114" w:rsidRPr="00634C27" w:rsidRDefault="00CF4114"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Kakšen je postopek prijave?</w:t>
      </w:r>
    </w:p>
    <w:p w:rsidR="00A9054C" w:rsidRPr="00634C27" w:rsidRDefault="00CF4114" w:rsidP="00352225">
      <w:pPr>
        <w:spacing w:line="240" w:lineRule="atLeast"/>
        <w:jc w:val="both"/>
        <w:rPr>
          <w:rFonts w:ascii="Arial" w:hAnsi="Arial" w:cs="Arial"/>
        </w:rPr>
      </w:pPr>
      <w:r w:rsidRPr="00634C27">
        <w:rPr>
          <w:rFonts w:ascii="Arial" w:hAnsi="Arial" w:cs="Arial"/>
        </w:rPr>
        <w:t xml:space="preserve">Najprej je v času odprtja razpisov, to je do 31. 12. 2021, potrebno oddati vlogo na tisti javni razpis, na katerega se etažni lastniki želijo prijaviti. Vlogo na javni razpis odda upravnik ali druga oseba, ki jo pooblastijo etažni lastniki. Vloga mora biti oddana pred pričetkom izvajanja gradbenih, obrtniških in instalacijskih del. Če bo vloga na podlagi točkovanja skladno z merili na razpisu izbrana za sofinanciranje, bodo etažni lastniki oziroma njihov pooblaščenec prejeli odločbo o izboru in pogodbo z Eko skladom v podpis. </w:t>
      </w:r>
    </w:p>
    <w:p w:rsidR="00A9054C" w:rsidRPr="00634C27" w:rsidRDefault="00A9054C"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lastRenderedPageBreak/>
        <w:t xml:space="preserve">Pri energetskem </w:t>
      </w:r>
      <w:proofErr w:type="spellStart"/>
      <w:r w:rsidRPr="00634C27">
        <w:rPr>
          <w:rFonts w:ascii="Arial" w:hAnsi="Arial" w:cs="Arial"/>
        </w:rPr>
        <w:t>pogodbeništvu</w:t>
      </w:r>
      <w:proofErr w:type="spellEnd"/>
      <w:r w:rsidRPr="00634C27">
        <w:rPr>
          <w:rFonts w:ascii="Arial" w:hAnsi="Arial" w:cs="Arial"/>
        </w:rPr>
        <w:t xml:space="preserve"> se bodo nepovratna sredstva nakazala izvajalcu oziroma pogodbeniku po zaključku celotne naložbe in predložitvi dokazil. Pri kreditu v breme rezervnega sklada pa se bo kredit črpal po situacijah (ustrezni deleži sredstev bodo izvajalcu nakazani po predložitvi zahtevanih dokumentov - pogodb, računov, predračunov, začasnih situacij dotlej opravljenih del idr.), nepovratna sredstva pa se bodo izvajalcu v celoti nakazala po zaključku celotne naložbe in predložitvi dokazil. Če vsota kredita in nepovratnih sredstev presega priznane stroške naložbe, se nepovratna sredstva izplačajo za delno poplačilo kredita.</w:t>
      </w:r>
    </w:p>
    <w:p w:rsidR="00CF4114" w:rsidRPr="00634C27" w:rsidRDefault="00CF4114" w:rsidP="00352225">
      <w:pPr>
        <w:spacing w:line="240" w:lineRule="atLeast"/>
        <w:jc w:val="both"/>
        <w:rPr>
          <w:rFonts w:ascii="Arial" w:eastAsia="Arial" w:hAnsi="Arial" w:cs="Arial"/>
          <w:b/>
        </w:rPr>
      </w:pPr>
    </w:p>
    <w:p w:rsidR="00A9054C" w:rsidRPr="00634C27" w:rsidRDefault="00A9054C" w:rsidP="0031173E">
      <w:pPr>
        <w:pStyle w:val="Navadensplet"/>
        <w:numPr>
          <w:ilvl w:val="0"/>
          <w:numId w:val="17"/>
        </w:numPr>
        <w:spacing w:before="0" w:beforeAutospacing="0" w:after="0" w:afterAutospacing="0" w:line="240" w:lineRule="atLeast"/>
        <w:jc w:val="both"/>
        <w:rPr>
          <w:rFonts w:ascii="Arial" w:hAnsi="Arial" w:cs="Arial"/>
          <w:color w:val="000000"/>
          <w:lang w:val="sl-SI"/>
        </w:rPr>
      </w:pPr>
      <w:r w:rsidRPr="00634C27">
        <w:rPr>
          <w:rFonts w:ascii="Arial" w:hAnsi="Arial" w:cs="Arial"/>
          <w:b/>
          <w:bCs/>
          <w:color w:val="000000"/>
          <w:lang w:val="sl-SI"/>
        </w:rPr>
        <w:t>Kako poteka prijava na razpis in kdo se lahko prijavi?</w:t>
      </w:r>
    </w:p>
    <w:p w:rsidR="00A9054C" w:rsidRPr="00634C27" w:rsidRDefault="00A9054C" w:rsidP="00352225">
      <w:pPr>
        <w:spacing w:line="240" w:lineRule="atLeast"/>
        <w:jc w:val="both"/>
        <w:rPr>
          <w:rFonts w:ascii="Arial" w:hAnsi="Arial" w:cs="Arial"/>
          <w:color w:val="000000"/>
        </w:rPr>
      </w:pPr>
      <w:r w:rsidRPr="00634C27">
        <w:rPr>
          <w:rFonts w:ascii="Arial" w:hAnsi="Arial" w:cs="Arial"/>
          <w:color w:val="000000"/>
        </w:rPr>
        <w:t xml:space="preserve">Vlogo na javni razpis pred izvedbo naložbe odda upravnik ali oseba, ki jo pooblastijo etažni lastniki. Pogoj za dodelitev spodbude je pravočasna in popolna vloga (z vsemi prilogami). </w:t>
      </w:r>
      <w:bookmarkStart w:id="0" w:name="_Hlk73691230"/>
      <w:r w:rsidRPr="00634C27">
        <w:rPr>
          <w:rFonts w:ascii="Arial" w:hAnsi="Arial" w:cs="Arial"/>
          <w:color w:val="000000"/>
        </w:rPr>
        <w:t xml:space="preserve">Vloga je vložena pravočasno, če jo Eko sklad prejme najkasneje do 31. decembra 2021, oziroma je oddana na pošto priporočeno najkasneje do 31. decembra 2021. </w:t>
      </w:r>
      <w:bookmarkEnd w:id="0"/>
      <w:r w:rsidRPr="00634C27">
        <w:rPr>
          <w:rFonts w:ascii="Arial" w:hAnsi="Arial" w:cs="Arial"/>
          <w:color w:val="000000"/>
        </w:rPr>
        <w:t xml:space="preserve">Če se vloga odda fizično v Glavni pisarni Eko sklada, na naslovu Bleiweisova cesta 30, 1000 Ljubljana, se le ta šteje za pravočasno, če jo Eko sklad prejme do 31. decembra 2021 do 14. ure. Vlagatelji morajo najkasneje do vključno 31. decembra 2021 oddati tudi elektronsko verzijo vloge s prilogami na elektronski naslov </w:t>
      </w:r>
      <w:hyperlink r:id="rId7" w:history="1">
        <w:r w:rsidRPr="00634C27">
          <w:rPr>
            <w:rStyle w:val="Hiperpovezava"/>
            <w:rFonts w:ascii="Arial" w:hAnsi="Arial" w:cs="Arial"/>
            <w:color w:val="000000"/>
          </w:rPr>
          <w:t>ekosklad@ekosklad.si</w:t>
        </w:r>
      </w:hyperlink>
      <w:r w:rsidRPr="00634C27">
        <w:rPr>
          <w:rFonts w:ascii="Arial" w:hAnsi="Arial" w:cs="Arial"/>
          <w:color w:val="000000"/>
        </w:rPr>
        <w:t>.</w:t>
      </w:r>
    </w:p>
    <w:p w:rsidR="00A9054C" w:rsidRPr="00634C27" w:rsidRDefault="00A9054C" w:rsidP="00352225">
      <w:pPr>
        <w:spacing w:line="240" w:lineRule="atLeast"/>
        <w:jc w:val="both"/>
        <w:rPr>
          <w:rFonts w:ascii="Arial" w:hAnsi="Arial" w:cs="Arial"/>
          <w:b/>
          <w:bCs/>
          <w:color w:val="000000"/>
        </w:rPr>
      </w:pPr>
    </w:p>
    <w:p w:rsidR="00CF4114" w:rsidRPr="00634C27" w:rsidRDefault="00CF4114"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Katere dokumente mora oseba priložiti?</w:t>
      </w:r>
    </w:p>
    <w:p w:rsidR="00CF4114" w:rsidRPr="00634C27" w:rsidRDefault="00CF4114" w:rsidP="00352225">
      <w:pPr>
        <w:spacing w:line="240" w:lineRule="atLeast"/>
        <w:jc w:val="both"/>
        <w:rPr>
          <w:rFonts w:ascii="Arial" w:hAnsi="Arial" w:cs="Arial"/>
        </w:rPr>
      </w:pPr>
      <w:r w:rsidRPr="00634C27">
        <w:rPr>
          <w:rFonts w:ascii="Arial" w:hAnsi="Arial" w:cs="Arial"/>
        </w:rPr>
        <w:t>Potrebno je priložiti izpolnjen obrazec Vloga in obvezne priloge, ki so podrobno določene v posameznem javnem razpisu ter prilogi Tehnični pogoji (npr. projektno dokumentacijo, predračune, fotografije pred izvedbo naložbe itd.).</w:t>
      </w:r>
    </w:p>
    <w:p w:rsidR="00CF4114" w:rsidRPr="00634C27" w:rsidRDefault="00CF4114" w:rsidP="00352225">
      <w:pPr>
        <w:spacing w:line="240" w:lineRule="atLeast"/>
        <w:jc w:val="both"/>
        <w:rPr>
          <w:rFonts w:ascii="Arial" w:hAnsi="Arial" w:cs="Arial"/>
          <w:b/>
          <w:bCs/>
          <w:color w:val="000000"/>
        </w:rPr>
      </w:pPr>
    </w:p>
    <w:p w:rsidR="00CF4114" w:rsidRPr="00634C27" w:rsidRDefault="00CF4114"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Na koga se lahko obrnejo, če potrebujejo pomoč pri prijavi?</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Informacije o pilotnih razpisih so na voljo na telefonski številki 01 241 48 25 ali po elektronski pošti na </w:t>
      </w:r>
      <w:hyperlink r:id="rId8" w:history="1">
        <w:r w:rsidRPr="00634C27">
          <w:rPr>
            <w:rStyle w:val="Hiperpovezava"/>
            <w:rFonts w:ascii="Arial" w:hAnsi="Arial" w:cs="Arial"/>
          </w:rPr>
          <w:t>ekosklad@ekosklad.si</w:t>
        </w:r>
      </w:hyperlink>
      <w:r w:rsidRPr="00634C27">
        <w:rPr>
          <w:rFonts w:ascii="Arial" w:hAnsi="Arial" w:cs="Arial"/>
        </w:rPr>
        <w:t>.</w:t>
      </w:r>
    </w:p>
    <w:p w:rsidR="00CF4114" w:rsidRPr="00634C27" w:rsidRDefault="00CF4114" w:rsidP="00352225">
      <w:pPr>
        <w:spacing w:line="240" w:lineRule="atLeast"/>
        <w:jc w:val="both"/>
        <w:rPr>
          <w:rFonts w:ascii="Arial" w:hAnsi="Arial" w:cs="Arial"/>
          <w:color w:val="222222"/>
        </w:rPr>
      </w:pPr>
    </w:p>
    <w:p w:rsidR="00CF4114" w:rsidRPr="00634C27" w:rsidRDefault="00CF4114"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Kakšen je postopek, ko so dela zaključena - dokazila o delu ...?</w:t>
      </w:r>
    </w:p>
    <w:p w:rsidR="00CF4114" w:rsidRPr="00634C27" w:rsidRDefault="00CF4114" w:rsidP="00352225">
      <w:pPr>
        <w:spacing w:line="240" w:lineRule="atLeast"/>
        <w:jc w:val="both"/>
        <w:rPr>
          <w:rFonts w:ascii="Arial" w:hAnsi="Arial" w:cs="Arial"/>
        </w:rPr>
      </w:pPr>
      <w:r w:rsidRPr="00634C27">
        <w:rPr>
          <w:rFonts w:ascii="Arial" w:hAnsi="Arial" w:cs="Arial"/>
        </w:rPr>
        <w:t>Predložiti je treba dokumentacijo o zaključku celotne naložbe, čemur sledi izplačilo nepovratnih sredstev na račun izvajalca. Vsebina dokumentacije o zaključku je podrobno določena v prilogi javnega razpisa Tehnični pogoji (npr. fotografije po izvedbi naložbe, računi, dokazila o plačilu</w:t>
      </w:r>
      <w:r w:rsidR="002E7423">
        <w:rPr>
          <w:rFonts w:ascii="Arial" w:hAnsi="Arial" w:cs="Arial"/>
        </w:rPr>
        <w:t>…</w:t>
      </w:r>
      <w:r w:rsidRPr="00634C27">
        <w:rPr>
          <w:rFonts w:ascii="Arial" w:hAnsi="Arial" w:cs="Arial"/>
        </w:rPr>
        <w:t>).</w:t>
      </w:r>
    </w:p>
    <w:p w:rsidR="0031173E" w:rsidRPr="00634C27" w:rsidRDefault="0031173E" w:rsidP="00352225">
      <w:pPr>
        <w:pStyle w:val="Navadensplet"/>
        <w:spacing w:before="0" w:beforeAutospacing="0" w:after="0" w:afterAutospacing="0" w:line="240" w:lineRule="atLeast"/>
        <w:jc w:val="both"/>
        <w:rPr>
          <w:rFonts w:ascii="Arial" w:hAnsi="Arial" w:cs="Arial"/>
          <w:b/>
          <w:bCs/>
          <w:color w:val="000000"/>
          <w:lang w:val="sl-SI"/>
        </w:rPr>
      </w:pPr>
    </w:p>
    <w:p w:rsidR="00005450" w:rsidRPr="00634C27" w:rsidRDefault="00005450" w:rsidP="0031173E">
      <w:pPr>
        <w:pStyle w:val="Navadensplet"/>
        <w:numPr>
          <w:ilvl w:val="0"/>
          <w:numId w:val="17"/>
        </w:numPr>
        <w:spacing w:before="0" w:beforeAutospacing="0" w:after="0" w:afterAutospacing="0" w:line="240" w:lineRule="atLeast"/>
        <w:jc w:val="both"/>
        <w:rPr>
          <w:rFonts w:ascii="Arial" w:hAnsi="Arial" w:cs="Arial"/>
          <w:b/>
          <w:bCs/>
          <w:color w:val="000000"/>
          <w:lang w:val="sl-SI"/>
        </w:rPr>
      </w:pPr>
      <w:r w:rsidRPr="00634C27">
        <w:rPr>
          <w:rFonts w:ascii="Arial" w:hAnsi="Arial" w:cs="Arial"/>
          <w:b/>
          <w:bCs/>
          <w:color w:val="000000"/>
          <w:lang w:val="sl-SI"/>
        </w:rPr>
        <w:t>Kako bo potekalo financiranje?</w:t>
      </w:r>
    </w:p>
    <w:p w:rsidR="00005450" w:rsidRPr="00634C27" w:rsidRDefault="00005450" w:rsidP="00352225">
      <w:pPr>
        <w:pStyle w:val="Navadensplet"/>
        <w:spacing w:before="0" w:beforeAutospacing="0" w:after="0" w:afterAutospacing="0" w:line="240" w:lineRule="atLeast"/>
        <w:jc w:val="both"/>
        <w:rPr>
          <w:rFonts w:ascii="Arial" w:hAnsi="Arial" w:cs="Arial"/>
          <w:color w:val="000000"/>
          <w:lang w:val="sl-SI"/>
        </w:rPr>
      </w:pPr>
      <w:r w:rsidRPr="00634C27">
        <w:rPr>
          <w:rFonts w:ascii="Arial" w:hAnsi="Arial" w:cs="Arial"/>
          <w:color w:val="000000"/>
          <w:lang w:val="sl-SI"/>
        </w:rPr>
        <w:t xml:space="preserve">Najprej je v času odprtja razpisov, to je do 31.12.2021, potrebno oddati vlogo na tisti javni razpis, na katerega se etažni lastniki želijo prijaviti. Vlogo na javni razpis odda upravnik ali druga oseba, ki jo pooblastijo etažni lastniki. Vloga mora biti oddana pred pričetkom izvajanja gradbenih, obrtniških in instalacijskih del. Če bo vloga na podlagi točkovanja skladno z merili na razpisu izbrana za sofinanciranje, bodo etažni lastniki oziroma njihov pooblaščenec prejeli odločbo o izboru in pogodbo z Eko skladom v podpis. Pri energetskem </w:t>
      </w:r>
      <w:proofErr w:type="spellStart"/>
      <w:r w:rsidRPr="00634C27">
        <w:rPr>
          <w:rFonts w:ascii="Arial" w:hAnsi="Arial" w:cs="Arial"/>
          <w:color w:val="000000"/>
          <w:lang w:val="sl-SI"/>
        </w:rPr>
        <w:t>pogodbeništvu</w:t>
      </w:r>
      <w:proofErr w:type="spellEnd"/>
      <w:r w:rsidRPr="00634C27">
        <w:rPr>
          <w:rFonts w:ascii="Arial" w:hAnsi="Arial" w:cs="Arial"/>
          <w:color w:val="000000"/>
          <w:lang w:val="sl-SI"/>
        </w:rPr>
        <w:t xml:space="preserve"> se bodo nepovratna sredstva nakazala izvajalcu po zaključku celotne naložbe in predložitvi dokazil. Pri kreditu v breme rezervnega sklada pa se bo kredit črpal po situacijah (ustrezni deleži sredstev bodo izvajalcu nakazani po predložitvi zahtevanih dokumentov - pogodb, računov, </w:t>
      </w:r>
      <w:r w:rsidRPr="00634C27">
        <w:rPr>
          <w:rFonts w:ascii="Arial" w:hAnsi="Arial" w:cs="Arial"/>
          <w:color w:val="000000"/>
          <w:lang w:val="sl-SI"/>
        </w:rPr>
        <w:lastRenderedPageBreak/>
        <w:t xml:space="preserve">predračunov, začasnih situacij dotlej opravljenih del idr.), nepovratna sredstva pa se bodo izvajalcu v celoti nakazala po zaključku celotne naložbe in predložitvi dokazil. </w:t>
      </w:r>
    </w:p>
    <w:p w:rsidR="002E7423" w:rsidRDefault="002E7423" w:rsidP="00352225">
      <w:pPr>
        <w:spacing w:line="240" w:lineRule="atLeast"/>
        <w:jc w:val="both"/>
        <w:textAlignment w:val="baseline"/>
        <w:rPr>
          <w:rFonts w:ascii="Arial" w:hAnsi="Arial" w:cs="Arial"/>
          <w:b/>
          <w:bCs/>
          <w:color w:val="000000"/>
        </w:rPr>
      </w:pP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b/>
          <w:bCs/>
          <w:color w:val="000000"/>
        </w:rPr>
        <w:t>Predvideno je, da bo zaradi omejenih sredstev na posameznem pilotnem razpisu izbranih le nekaj vlog</w:t>
      </w:r>
      <w:r w:rsidRPr="00634C27">
        <w:rPr>
          <w:rFonts w:ascii="Arial" w:hAnsi="Arial" w:cs="Arial"/>
          <w:color w:val="000000"/>
        </w:rPr>
        <w:t xml:space="preserve">. Višina nepovratnih sredstev za posamezen javni razpis znaša 500.000 EUR in 1.500.000 EUR za povratna sredstva – kredit v breme rezervnega sklada. Gre namreč za pilotna razpisa, s katerima želi Eko sklad testirati nove finančne instrumente. Javna razpisa tako le dopolnjujeta obstoječo ponudbo spodbud Eko sklada za večstanovanjske stavbe. Vsi obstoječi javni pozivi Eko sklada, namenjeni večstanovanjskim stavbam, ostajajo odprti. Bo pa spodbuda na pilotnih razpisih precej višja. </w:t>
      </w:r>
    </w:p>
    <w:p w:rsidR="0031173E" w:rsidRPr="00634C27" w:rsidRDefault="0031173E" w:rsidP="00352225">
      <w:pPr>
        <w:pStyle w:val="Navadensplet"/>
        <w:spacing w:before="0" w:beforeAutospacing="0" w:after="0" w:afterAutospacing="0" w:line="240" w:lineRule="atLeast"/>
        <w:jc w:val="both"/>
        <w:rPr>
          <w:rFonts w:ascii="Arial" w:hAnsi="Arial" w:cs="Arial"/>
          <w:b/>
          <w:bCs/>
          <w:color w:val="000000"/>
          <w:lang w:val="sl-SI"/>
        </w:rPr>
      </w:pPr>
    </w:p>
    <w:p w:rsidR="00005450" w:rsidRPr="00634C27" w:rsidRDefault="00005450" w:rsidP="0031173E">
      <w:pPr>
        <w:pStyle w:val="Navadensplet"/>
        <w:numPr>
          <w:ilvl w:val="0"/>
          <w:numId w:val="17"/>
        </w:numPr>
        <w:spacing w:before="0" w:beforeAutospacing="0" w:after="0" w:afterAutospacing="0" w:line="240" w:lineRule="atLeast"/>
        <w:jc w:val="both"/>
        <w:rPr>
          <w:rFonts w:ascii="Arial" w:hAnsi="Arial" w:cs="Arial"/>
          <w:b/>
          <w:bCs/>
          <w:color w:val="000000"/>
          <w:lang w:val="sl-SI"/>
        </w:rPr>
      </w:pPr>
      <w:r w:rsidRPr="00634C27">
        <w:rPr>
          <w:rFonts w:ascii="Arial" w:hAnsi="Arial" w:cs="Arial"/>
          <w:b/>
          <w:bCs/>
          <w:color w:val="000000"/>
          <w:lang w:val="sl-SI"/>
        </w:rPr>
        <w:t>Kakšni so pogoji, da do pomoči pride?</w:t>
      </w: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color w:val="000000"/>
        </w:rPr>
        <w:t>Pogojev je več. Če povzamemo ključne pogoje, pa je pomembno:</w:t>
      </w:r>
    </w:p>
    <w:p w:rsidR="00005450" w:rsidRPr="00634C27" w:rsidRDefault="00005450" w:rsidP="00352225">
      <w:pPr>
        <w:pStyle w:val="Odstavekseznama"/>
        <w:numPr>
          <w:ilvl w:val="0"/>
          <w:numId w:val="11"/>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da se vloga odda v času odprtja razpisa, to je do 31.</w:t>
      </w:r>
      <w:r w:rsidR="002E7423">
        <w:rPr>
          <w:rFonts w:ascii="Arial" w:eastAsia="Times New Roman" w:hAnsi="Arial" w:cs="Arial"/>
          <w:color w:val="000000"/>
        </w:rPr>
        <w:t xml:space="preserve"> </w:t>
      </w:r>
      <w:r w:rsidRPr="00634C27">
        <w:rPr>
          <w:rFonts w:ascii="Arial" w:eastAsia="Times New Roman" w:hAnsi="Arial" w:cs="Arial"/>
          <w:color w:val="000000"/>
        </w:rPr>
        <w:t>12.</w:t>
      </w:r>
      <w:r w:rsidR="002E7423">
        <w:rPr>
          <w:rFonts w:ascii="Arial" w:eastAsia="Times New Roman" w:hAnsi="Arial" w:cs="Arial"/>
          <w:color w:val="000000"/>
        </w:rPr>
        <w:t xml:space="preserve"> </w:t>
      </w:r>
      <w:r w:rsidRPr="00634C27">
        <w:rPr>
          <w:rFonts w:ascii="Arial" w:eastAsia="Times New Roman" w:hAnsi="Arial" w:cs="Arial"/>
          <w:color w:val="000000"/>
        </w:rPr>
        <w:t>2021, in še pred pričetkom izvajanja gradbenih, obrtniških in instalacijskih del;</w:t>
      </w:r>
    </w:p>
    <w:p w:rsidR="00005450" w:rsidRPr="00634C27" w:rsidRDefault="00005450" w:rsidP="00352225">
      <w:pPr>
        <w:pStyle w:val="Odstavekseznama"/>
        <w:numPr>
          <w:ilvl w:val="0"/>
          <w:numId w:val="11"/>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da so upravičene le stavbe z več kot 8 deli in več kot 8 različnimi etažnimi lastniki, pri čemer bo morala biti več kot polovica površine stavbe v stanovanjski rabi in več kot polovica vseh etažnih lastnikov fizičnih oseb (občanov);</w:t>
      </w:r>
    </w:p>
    <w:p w:rsidR="00005450" w:rsidRPr="00634C27" w:rsidRDefault="00005450" w:rsidP="00352225">
      <w:pPr>
        <w:pStyle w:val="Odstavekseznama"/>
        <w:numPr>
          <w:ilvl w:val="0"/>
          <w:numId w:val="11"/>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 xml:space="preserve">da se bo celovita prenova stavbe izvedla kot usklajena izvedba treh ali več ukrepov energijske prenove stavbe ali kot skoraj </w:t>
      </w:r>
      <w:proofErr w:type="spellStart"/>
      <w:r w:rsidRPr="00634C27">
        <w:rPr>
          <w:rFonts w:ascii="Arial" w:eastAsia="Times New Roman" w:hAnsi="Arial" w:cs="Arial"/>
          <w:color w:val="000000"/>
        </w:rPr>
        <w:t>ničenergijska</w:t>
      </w:r>
      <w:proofErr w:type="spellEnd"/>
      <w:r w:rsidRPr="00634C27">
        <w:rPr>
          <w:rFonts w:ascii="Arial" w:eastAsia="Times New Roman" w:hAnsi="Arial" w:cs="Arial"/>
          <w:color w:val="000000"/>
        </w:rPr>
        <w:t xml:space="preserve"> prenova, skladno s tehničnimi pogoji razpisa.</w:t>
      </w:r>
    </w:p>
    <w:p w:rsidR="00005450" w:rsidRPr="00634C27" w:rsidRDefault="00005450" w:rsidP="00352225">
      <w:pPr>
        <w:spacing w:line="240" w:lineRule="atLeast"/>
        <w:jc w:val="both"/>
        <w:textAlignment w:val="baseline"/>
        <w:rPr>
          <w:rFonts w:ascii="Arial" w:eastAsiaTheme="minorHAnsi" w:hAnsi="Arial" w:cs="Arial"/>
          <w:color w:val="000000"/>
        </w:rPr>
      </w:pP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color w:val="000000"/>
        </w:rPr>
        <w:t xml:space="preserve">Poleg tega mora biti </w:t>
      </w:r>
      <w:r w:rsidRPr="00634C27">
        <w:rPr>
          <w:rFonts w:ascii="Arial" w:hAnsi="Arial" w:cs="Arial"/>
          <w:b/>
          <w:bCs/>
          <w:color w:val="000000"/>
        </w:rPr>
        <w:t xml:space="preserve">pri energetskem </w:t>
      </w:r>
      <w:proofErr w:type="spellStart"/>
      <w:r w:rsidRPr="00634C27">
        <w:rPr>
          <w:rFonts w:ascii="Arial" w:hAnsi="Arial" w:cs="Arial"/>
          <w:b/>
          <w:bCs/>
          <w:color w:val="000000"/>
        </w:rPr>
        <w:t>pogodbeništvu</w:t>
      </w:r>
      <w:proofErr w:type="spellEnd"/>
      <w:r w:rsidRPr="00634C27">
        <w:rPr>
          <w:rFonts w:ascii="Arial" w:hAnsi="Arial" w:cs="Arial"/>
          <w:color w:val="000000"/>
        </w:rPr>
        <w:t xml:space="preserve"> vsaj tretjina priznanih stroškov naložbe financirana s strani pogodbenika. Naložba se mora pogodbeniku poplačevati bodisi po računih za energijo bodisi na osnovi računov za storitve energetske učinkovitosti, skladno s pogodbo med etažnimi lastniki oziroma njihovim pooblaščencem in izbranim pogodbenikom. Ročnost financiranja poplačila pogodbenih obveznosti s strani pogodbenika mora znašati vsaj deset let. </w:t>
      </w:r>
    </w:p>
    <w:p w:rsidR="00A9054C" w:rsidRPr="00634C27" w:rsidRDefault="00A9054C" w:rsidP="00352225">
      <w:pPr>
        <w:spacing w:line="240" w:lineRule="atLeast"/>
        <w:jc w:val="both"/>
        <w:textAlignment w:val="baseline"/>
        <w:rPr>
          <w:rFonts w:ascii="Arial" w:hAnsi="Arial" w:cs="Arial"/>
          <w:b/>
          <w:bCs/>
          <w:color w:val="000000"/>
        </w:rPr>
      </w:pP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b/>
          <w:bCs/>
          <w:color w:val="000000"/>
        </w:rPr>
        <w:t>Pri kreditu v breme rezervnega sklada</w:t>
      </w:r>
      <w:r w:rsidRPr="00634C27">
        <w:rPr>
          <w:rFonts w:ascii="Arial" w:hAnsi="Arial" w:cs="Arial"/>
          <w:color w:val="000000"/>
        </w:rPr>
        <w:t xml:space="preserve"> pa:</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je obvezno 100 % soglasje (torej soglasje vseh) etažnih lastnikov;</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na povprečni letni ravni ne sme biti več kot 5 % neplačil v rezervni sklad;</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etažni lastniki morajo za čas odplačevanja kredita povečati vplačila v rezervni sklad za namen odplačevanja kredita tako, da bo po plačilu obveznosti, ki izhajajo iz kredita, v rezervnem skladu ostalo dovolj sredstev za plačilo ostalih obveznosti, ki se plačujejo iz rezervnega sklada, ter ne smejo sprejeti sklepa o zmanjšanju prispevkov v rezervni sklad za čas odplačevanja kredita;</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 xml:space="preserve">upravnik ali drug pooblaščenec v imenu in za račun etažnih lastnikov ali skupnosti etažnih lastnikov z Eko skladom sklene kreditno pogodbo (kredit lahko znaša 20-100 % priznanih stroškov naložbe, obrestna mera je </w:t>
      </w:r>
      <w:r w:rsidRPr="00634C27">
        <w:rPr>
          <w:rFonts w:ascii="Arial" w:eastAsia="Times New Roman" w:hAnsi="Arial" w:cs="Arial"/>
          <w:b/>
          <w:bCs/>
        </w:rPr>
        <w:t>trimesečni EURIBOR + 1,3 %, odplačilna doba pa znaša od 2 do 10 let</w:t>
      </w:r>
      <w:r w:rsidRPr="00634C27">
        <w:rPr>
          <w:rFonts w:ascii="Arial" w:eastAsia="Times New Roman" w:hAnsi="Arial" w:cs="Arial"/>
          <w:color w:val="000000"/>
        </w:rPr>
        <w:t>);</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kredit se poplačuje iz sredstev, ki se zbirajo na ločenem fiduciarnem transakcijskem računu rezervnega sklada;</w:t>
      </w:r>
    </w:p>
    <w:p w:rsidR="00005450" w:rsidRPr="00634C27" w:rsidRDefault="00005450" w:rsidP="00352225">
      <w:pPr>
        <w:pStyle w:val="Odstavekseznama"/>
        <w:numPr>
          <w:ilvl w:val="0"/>
          <w:numId w:val="12"/>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 xml:space="preserve">potrebna so ustrezna zavarovanja kredita (zastava depozita, trajnik za bremenitev računa rezervnega sklada, zastava prilivov na račun rezervnega </w:t>
      </w:r>
      <w:r w:rsidRPr="00634C27">
        <w:rPr>
          <w:rFonts w:ascii="Arial" w:eastAsia="Times New Roman" w:hAnsi="Arial" w:cs="Arial"/>
          <w:color w:val="000000"/>
        </w:rPr>
        <w:lastRenderedPageBreak/>
        <w:t xml:space="preserve">sklada, odstop terjatev v zavarovanje iz naslova vseh vplačil v rezervni sklad, zavarovalna polica stavbe, </w:t>
      </w:r>
      <w:r w:rsidRPr="00634C27">
        <w:rPr>
          <w:rFonts w:ascii="Arial" w:eastAsia="Times New Roman" w:hAnsi="Arial" w:cs="Arial"/>
        </w:rPr>
        <w:t>zavarovana proti vsem nevarnostim oziroma najmanj požar in izliv vode, vinkulirana v korist Eko sklada)</w:t>
      </w:r>
      <w:r w:rsidRPr="00634C27">
        <w:rPr>
          <w:rFonts w:ascii="Arial" w:eastAsia="Times New Roman" w:hAnsi="Arial" w:cs="Arial"/>
          <w:color w:val="000000"/>
        </w:rPr>
        <w:t xml:space="preserve">. </w:t>
      </w:r>
    </w:p>
    <w:p w:rsidR="00005450" w:rsidRPr="00634C27" w:rsidRDefault="00005450" w:rsidP="00352225">
      <w:pPr>
        <w:spacing w:line="240" w:lineRule="atLeast"/>
        <w:jc w:val="both"/>
        <w:rPr>
          <w:rFonts w:ascii="Arial" w:eastAsia="Arial" w:hAnsi="Arial" w:cs="Arial"/>
          <w:b/>
        </w:rPr>
      </w:pPr>
    </w:p>
    <w:p w:rsidR="00005450" w:rsidRPr="00634C27" w:rsidRDefault="0031173E" w:rsidP="0031173E">
      <w:pPr>
        <w:pStyle w:val="Odstavekseznama"/>
        <w:numPr>
          <w:ilvl w:val="0"/>
          <w:numId w:val="17"/>
        </w:numPr>
        <w:spacing w:line="240" w:lineRule="atLeast"/>
        <w:jc w:val="both"/>
        <w:rPr>
          <w:rFonts w:ascii="Arial" w:hAnsi="Arial" w:cs="Arial"/>
          <w:b/>
          <w:bCs/>
          <w:color w:val="000000"/>
        </w:rPr>
      </w:pPr>
      <w:r w:rsidRPr="00634C27">
        <w:rPr>
          <w:rFonts w:ascii="Arial" w:hAnsi="Arial" w:cs="Arial"/>
          <w:b/>
          <w:bCs/>
          <w:color w:val="000000"/>
        </w:rPr>
        <w:t xml:space="preserve"> </w:t>
      </w:r>
      <w:r w:rsidR="00005450" w:rsidRPr="00634C27">
        <w:rPr>
          <w:rFonts w:ascii="Arial" w:hAnsi="Arial" w:cs="Arial"/>
          <w:b/>
          <w:bCs/>
          <w:color w:val="000000"/>
        </w:rPr>
        <w:t>Kolikšna bo finančna spodbuda?</w:t>
      </w: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color w:val="000000"/>
        </w:rPr>
        <w:t>Predvidena višina nepovratne finančne spodbude:</w:t>
      </w:r>
    </w:p>
    <w:p w:rsidR="00005450" w:rsidRPr="00634C27" w:rsidRDefault="00005450" w:rsidP="00352225">
      <w:pPr>
        <w:pStyle w:val="Odstavekseznama"/>
        <w:numPr>
          <w:ilvl w:val="0"/>
          <w:numId w:val="13"/>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do 40 % priznanih stroškov naložbe za celovito prenovo z usklajeno izvedbo treh ali več ukrepov energijske prenove stavbe;</w:t>
      </w:r>
    </w:p>
    <w:p w:rsidR="00005450" w:rsidRPr="00634C27" w:rsidRDefault="00005450" w:rsidP="00352225">
      <w:pPr>
        <w:pStyle w:val="Odstavekseznama"/>
        <w:numPr>
          <w:ilvl w:val="0"/>
          <w:numId w:val="13"/>
        </w:numPr>
        <w:spacing w:line="240" w:lineRule="atLeast"/>
        <w:jc w:val="both"/>
        <w:textAlignment w:val="baseline"/>
        <w:rPr>
          <w:rFonts w:ascii="Arial" w:eastAsia="Times New Roman" w:hAnsi="Arial" w:cs="Arial"/>
          <w:color w:val="000000"/>
        </w:rPr>
      </w:pPr>
      <w:r w:rsidRPr="00634C27">
        <w:rPr>
          <w:rFonts w:ascii="Arial" w:eastAsia="Times New Roman" w:hAnsi="Arial" w:cs="Arial"/>
          <w:color w:val="000000"/>
        </w:rPr>
        <w:t xml:space="preserve">do 50 % priznanih stroškov naložbe za skoraj </w:t>
      </w:r>
      <w:proofErr w:type="spellStart"/>
      <w:r w:rsidRPr="00634C27">
        <w:rPr>
          <w:rFonts w:ascii="Arial" w:eastAsia="Times New Roman" w:hAnsi="Arial" w:cs="Arial"/>
          <w:color w:val="000000"/>
        </w:rPr>
        <w:t>ničenergijsko</w:t>
      </w:r>
      <w:proofErr w:type="spellEnd"/>
      <w:r w:rsidRPr="00634C27">
        <w:rPr>
          <w:rFonts w:ascii="Arial" w:eastAsia="Times New Roman" w:hAnsi="Arial" w:cs="Arial"/>
          <w:color w:val="000000"/>
        </w:rPr>
        <w:t xml:space="preserve"> prenovo.</w:t>
      </w:r>
    </w:p>
    <w:p w:rsidR="002E7423" w:rsidRDefault="002E7423" w:rsidP="00352225">
      <w:pPr>
        <w:spacing w:line="240" w:lineRule="atLeast"/>
        <w:jc w:val="both"/>
        <w:textAlignment w:val="baseline"/>
        <w:rPr>
          <w:rFonts w:ascii="Arial" w:hAnsi="Arial" w:cs="Arial"/>
          <w:color w:val="000000"/>
        </w:rPr>
      </w:pPr>
    </w:p>
    <w:p w:rsidR="00005450" w:rsidRPr="00634C27" w:rsidRDefault="00005450" w:rsidP="00352225">
      <w:pPr>
        <w:spacing w:line="240" w:lineRule="atLeast"/>
        <w:jc w:val="both"/>
        <w:textAlignment w:val="baseline"/>
        <w:rPr>
          <w:rFonts w:ascii="Arial" w:hAnsi="Arial" w:cs="Arial"/>
          <w:color w:val="000000"/>
        </w:rPr>
      </w:pPr>
      <w:r w:rsidRPr="00634C27">
        <w:rPr>
          <w:rFonts w:ascii="Arial" w:hAnsi="Arial" w:cs="Arial"/>
          <w:color w:val="000000"/>
        </w:rPr>
        <w:t>Če bo v okviru celovite prenove izvedena tudi statična sanacija (protipotresna utrditev), se bo dodelila dodatna nepovratna finančna spodbuda v višini do 50 % s tem povezanih stroškov, vendar ne več kot 225 EUR na m2 neto ogrevane površine stavbe pred prenovo.</w:t>
      </w:r>
    </w:p>
    <w:p w:rsidR="0031173E" w:rsidRPr="00634C27" w:rsidRDefault="0031173E" w:rsidP="00352225">
      <w:pPr>
        <w:spacing w:line="240" w:lineRule="atLeast"/>
        <w:jc w:val="both"/>
        <w:textAlignment w:val="baseline"/>
        <w:rPr>
          <w:rFonts w:ascii="Arial" w:eastAsiaTheme="minorHAnsi" w:hAnsi="Arial" w:cs="Arial"/>
          <w:color w:val="000000"/>
        </w:rPr>
      </w:pPr>
    </w:p>
    <w:p w:rsidR="00AE4757" w:rsidRPr="00634C27" w:rsidRDefault="0031173E" w:rsidP="0031173E">
      <w:pPr>
        <w:pStyle w:val="Odstavekseznama"/>
        <w:numPr>
          <w:ilvl w:val="0"/>
          <w:numId w:val="17"/>
        </w:numPr>
        <w:spacing w:line="240" w:lineRule="atLeast"/>
        <w:jc w:val="both"/>
        <w:textAlignment w:val="baseline"/>
        <w:rPr>
          <w:rFonts w:ascii="Arial" w:eastAsia="Times New Roman" w:hAnsi="Arial" w:cs="Arial"/>
          <w:b/>
          <w:color w:val="222222"/>
        </w:rPr>
      </w:pPr>
      <w:r w:rsidRPr="00634C27">
        <w:rPr>
          <w:rFonts w:ascii="Arial" w:eastAsia="Times New Roman" w:hAnsi="Arial" w:cs="Arial"/>
          <w:b/>
          <w:color w:val="222222"/>
        </w:rPr>
        <w:t xml:space="preserve"> </w:t>
      </w:r>
      <w:r w:rsidR="00440BD4" w:rsidRPr="00634C27">
        <w:rPr>
          <w:rFonts w:ascii="Arial" w:eastAsia="Times New Roman" w:hAnsi="Arial" w:cs="Arial"/>
          <w:b/>
          <w:color w:val="222222"/>
        </w:rPr>
        <w:t xml:space="preserve">Ali je lahko gradbeno dovoljenje pravnomočno </w:t>
      </w:r>
      <w:r w:rsidR="0044349D" w:rsidRPr="00634C27">
        <w:rPr>
          <w:rFonts w:ascii="Arial" w:eastAsia="Times New Roman" w:hAnsi="Arial" w:cs="Arial"/>
          <w:b/>
          <w:color w:val="222222"/>
        </w:rPr>
        <w:t xml:space="preserve">šele </w:t>
      </w:r>
      <w:r w:rsidR="00440BD4" w:rsidRPr="00634C27">
        <w:rPr>
          <w:rFonts w:ascii="Arial" w:eastAsia="Times New Roman" w:hAnsi="Arial" w:cs="Arial"/>
          <w:b/>
          <w:color w:val="222222"/>
        </w:rPr>
        <w:t>po oddaji vloge?</w:t>
      </w:r>
    </w:p>
    <w:p w:rsidR="00114875" w:rsidRPr="00634C27" w:rsidRDefault="00B70499" w:rsidP="00352225">
      <w:pPr>
        <w:spacing w:line="240" w:lineRule="atLeast"/>
        <w:jc w:val="both"/>
        <w:textAlignment w:val="baseline"/>
        <w:rPr>
          <w:rFonts w:ascii="Arial" w:eastAsia="Times New Roman" w:hAnsi="Arial" w:cs="Arial"/>
          <w:bCs/>
          <w:lang w:eastAsia="sl-SI"/>
        </w:rPr>
      </w:pPr>
      <w:r w:rsidRPr="00634C27">
        <w:rPr>
          <w:rFonts w:ascii="Arial" w:eastAsia="Times New Roman" w:hAnsi="Arial" w:cs="Arial"/>
          <w:bCs/>
          <w:lang w:eastAsia="sl-SI"/>
        </w:rPr>
        <w:t>Odpiranje vlog bo 14.</w:t>
      </w:r>
      <w:r w:rsidR="0045021E" w:rsidRPr="00634C27">
        <w:rPr>
          <w:rFonts w:ascii="Arial" w:eastAsia="Times New Roman" w:hAnsi="Arial" w:cs="Arial"/>
          <w:bCs/>
          <w:lang w:eastAsia="sl-SI"/>
        </w:rPr>
        <w:t xml:space="preserve"> </w:t>
      </w:r>
      <w:r w:rsidRPr="00634C27">
        <w:rPr>
          <w:rFonts w:ascii="Arial" w:eastAsia="Times New Roman" w:hAnsi="Arial" w:cs="Arial"/>
          <w:bCs/>
          <w:lang w:eastAsia="sl-SI"/>
        </w:rPr>
        <w:t>1.</w:t>
      </w:r>
      <w:r w:rsidR="0045021E" w:rsidRPr="00634C27">
        <w:rPr>
          <w:rFonts w:ascii="Arial" w:eastAsia="Times New Roman" w:hAnsi="Arial" w:cs="Arial"/>
          <w:bCs/>
          <w:lang w:eastAsia="sl-SI"/>
        </w:rPr>
        <w:t xml:space="preserve"> </w:t>
      </w:r>
      <w:r w:rsidRPr="00634C27">
        <w:rPr>
          <w:rFonts w:ascii="Arial" w:eastAsia="Times New Roman" w:hAnsi="Arial" w:cs="Arial"/>
          <w:bCs/>
          <w:lang w:eastAsia="sl-SI"/>
        </w:rPr>
        <w:t xml:space="preserve">2022. </w:t>
      </w:r>
      <w:r w:rsidRPr="00634C27">
        <w:rPr>
          <w:rFonts w:ascii="Arial" w:eastAsia="Times New Roman" w:hAnsi="Arial" w:cs="Arial"/>
          <w:bCs/>
          <w:lang w:eastAsia="sl-SI"/>
        </w:rPr>
        <w:t>V primeru formalno nepopolne vloge bo Eko sklad najkasneje v roku 30 dni od odpiranja vlog pisno pozval vlagatelja, da v določenem roku 15 dni vlogo dopolni. Če vlagatelj nepopolne vloge v navedenem roku ne dopolni, ali če bo nepopolna tudi po zahtevani dopolnitvi, se njegova vloga s sklepom zavrže.</w:t>
      </w:r>
      <w:r w:rsidR="00EF5FCE" w:rsidRPr="00634C27">
        <w:rPr>
          <w:rFonts w:ascii="Arial" w:eastAsia="Times New Roman" w:hAnsi="Arial" w:cs="Arial"/>
          <w:bCs/>
          <w:lang w:eastAsia="sl-SI"/>
        </w:rPr>
        <w:t xml:space="preserve"> </w:t>
      </w:r>
      <w:r w:rsidRPr="00634C27">
        <w:rPr>
          <w:rFonts w:ascii="Arial" w:eastAsia="Times New Roman" w:hAnsi="Arial" w:cs="Arial"/>
          <w:bCs/>
          <w:lang w:eastAsia="sl-SI"/>
        </w:rPr>
        <w:t xml:space="preserve"> Če je za </w:t>
      </w:r>
      <w:r w:rsidR="0044349D" w:rsidRPr="00634C27">
        <w:rPr>
          <w:rFonts w:ascii="Arial" w:eastAsia="Times New Roman" w:hAnsi="Arial" w:cs="Arial"/>
          <w:bCs/>
          <w:lang w:eastAsia="sl-SI"/>
        </w:rPr>
        <w:t xml:space="preserve">celovito </w:t>
      </w:r>
      <w:r w:rsidRPr="00634C27">
        <w:rPr>
          <w:rFonts w:ascii="Arial" w:eastAsia="Times New Roman" w:hAnsi="Arial" w:cs="Arial"/>
          <w:bCs/>
          <w:lang w:eastAsia="sl-SI"/>
        </w:rPr>
        <w:t xml:space="preserve">prenovo oz. statično sanacijo, ki je del </w:t>
      </w:r>
      <w:r w:rsidR="0044349D" w:rsidRPr="00634C27">
        <w:rPr>
          <w:rFonts w:ascii="Arial" w:eastAsia="Times New Roman" w:hAnsi="Arial" w:cs="Arial"/>
          <w:bCs/>
          <w:lang w:eastAsia="sl-SI"/>
        </w:rPr>
        <w:t xml:space="preserve">celovite </w:t>
      </w:r>
      <w:r w:rsidRPr="00634C27">
        <w:rPr>
          <w:rFonts w:ascii="Arial" w:eastAsia="Times New Roman" w:hAnsi="Arial" w:cs="Arial"/>
          <w:bCs/>
          <w:lang w:eastAsia="sl-SI"/>
        </w:rPr>
        <w:t>prenove, potrebno novo gradbeno dovoljenje, bo moral</w:t>
      </w:r>
      <w:r w:rsidR="009F5EC8" w:rsidRPr="00634C27">
        <w:rPr>
          <w:rFonts w:ascii="Arial" w:eastAsia="Times New Roman" w:hAnsi="Arial" w:cs="Arial"/>
          <w:bCs/>
          <w:lang w:eastAsia="sl-SI"/>
        </w:rPr>
        <w:t xml:space="preserve">a biti kopija </w:t>
      </w:r>
      <w:r w:rsidR="009F5EC8" w:rsidRPr="00634C27">
        <w:rPr>
          <w:rFonts w:ascii="Arial" w:eastAsia="Times New Roman" w:hAnsi="Arial" w:cs="Arial"/>
          <w:bCs/>
          <w:lang w:eastAsia="sl-SI"/>
        </w:rPr>
        <w:t>gradbenega dovoljenja</w:t>
      </w:r>
      <w:r w:rsidR="0044349D" w:rsidRPr="00634C27">
        <w:rPr>
          <w:rFonts w:ascii="Arial" w:eastAsia="Times New Roman" w:hAnsi="Arial" w:cs="Arial"/>
          <w:bCs/>
          <w:lang w:eastAsia="sl-SI"/>
        </w:rPr>
        <w:t>,</w:t>
      </w:r>
      <w:r w:rsidR="009F5EC8" w:rsidRPr="00634C27">
        <w:rPr>
          <w:rFonts w:ascii="Arial" w:eastAsia="Times New Roman" w:hAnsi="Arial" w:cs="Arial"/>
          <w:bCs/>
          <w:lang w:eastAsia="sl-SI"/>
        </w:rPr>
        <w:t xml:space="preserve"> opremljenega z žigom o pravnomočnosti</w:t>
      </w:r>
      <w:r w:rsidR="0044349D" w:rsidRPr="00634C27">
        <w:rPr>
          <w:rFonts w:ascii="Arial" w:eastAsia="Times New Roman" w:hAnsi="Arial" w:cs="Arial"/>
          <w:bCs/>
          <w:lang w:eastAsia="sl-SI"/>
        </w:rPr>
        <w:t>,</w:t>
      </w:r>
      <w:r w:rsidR="009F5EC8" w:rsidRPr="00634C27">
        <w:rPr>
          <w:rFonts w:ascii="Arial" w:eastAsia="Times New Roman" w:hAnsi="Arial" w:cs="Arial"/>
          <w:bCs/>
          <w:lang w:eastAsia="sl-SI"/>
        </w:rPr>
        <w:t xml:space="preserve"> </w:t>
      </w:r>
      <w:r w:rsidRPr="00634C27">
        <w:rPr>
          <w:rFonts w:ascii="Arial" w:eastAsia="Times New Roman" w:hAnsi="Arial" w:cs="Arial"/>
          <w:bCs/>
          <w:lang w:eastAsia="sl-SI"/>
        </w:rPr>
        <w:t>predložen</w:t>
      </w:r>
      <w:r w:rsidR="009F5EC8" w:rsidRPr="00634C27">
        <w:rPr>
          <w:rFonts w:ascii="Arial" w:eastAsia="Times New Roman" w:hAnsi="Arial" w:cs="Arial"/>
          <w:bCs/>
          <w:lang w:eastAsia="sl-SI"/>
        </w:rPr>
        <w:t>a</w:t>
      </w:r>
      <w:r w:rsidRPr="00634C27">
        <w:rPr>
          <w:rFonts w:ascii="Arial" w:eastAsia="Times New Roman" w:hAnsi="Arial" w:cs="Arial"/>
          <w:bCs/>
          <w:lang w:eastAsia="sl-SI"/>
        </w:rPr>
        <w:t xml:space="preserve"> najkasneje do </w:t>
      </w:r>
      <w:r w:rsidR="0045021E" w:rsidRPr="00634C27">
        <w:rPr>
          <w:rFonts w:ascii="Arial" w:eastAsia="Times New Roman" w:hAnsi="Arial" w:cs="Arial"/>
          <w:bCs/>
          <w:lang w:eastAsia="sl-SI"/>
        </w:rPr>
        <w:t xml:space="preserve">tega </w:t>
      </w:r>
      <w:r w:rsidRPr="00634C27">
        <w:rPr>
          <w:rFonts w:ascii="Arial" w:eastAsia="Times New Roman" w:hAnsi="Arial" w:cs="Arial"/>
          <w:bCs/>
          <w:lang w:eastAsia="sl-SI"/>
        </w:rPr>
        <w:t>roka</w:t>
      </w:r>
      <w:r w:rsidR="0045021E" w:rsidRPr="00634C27">
        <w:rPr>
          <w:rFonts w:ascii="Arial" w:eastAsia="Times New Roman" w:hAnsi="Arial" w:cs="Arial"/>
          <w:bCs/>
          <w:lang w:eastAsia="sl-SI"/>
        </w:rPr>
        <w:t xml:space="preserve"> za dopolnitev</w:t>
      </w:r>
      <w:r w:rsidR="0044349D" w:rsidRPr="00634C27">
        <w:rPr>
          <w:rFonts w:ascii="Arial" w:eastAsia="Times New Roman" w:hAnsi="Arial" w:cs="Arial"/>
          <w:bCs/>
          <w:lang w:eastAsia="sl-SI"/>
        </w:rPr>
        <w:t xml:space="preserve"> vloge</w:t>
      </w:r>
      <w:r w:rsidR="0045021E" w:rsidRPr="00634C27">
        <w:rPr>
          <w:rFonts w:ascii="Arial" w:eastAsia="Times New Roman" w:hAnsi="Arial" w:cs="Arial"/>
          <w:bCs/>
          <w:lang w:eastAsia="sl-SI"/>
        </w:rPr>
        <w:t>.</w:t>
      </w:r>
      <w:r w:rsidR="002E7423">
        <w:rPr>
          <w:rFonts w:ascii="Arial" w:eastAsia="Times New Roman" w:hAnsi="Arial" w:cs="Arial"/>
          <w:bCs/>
          <w:lang w:eastAsia="sl-SI"/>
        </w:rPr>
        <w:t xml:space="preserve"> Pravnomočnost novega gradbenega dovoljenja lahko nastopi tudi po 31. 12. 2021, vendar mora biti kot navedeno </w:t>
      </w:r>
      <w:r w:rsidR="002E7423" w:rsidRPr="00634C27">
        <w:rPr>
          <w:rFonts w:ascii="Arial" w:eastAsia="Times New Roman" w:hAnsi="Arial" w:cs="Arial"/>
          <w:bCs/>
          <w:lang w:eastAsia="sl-SI"/>
        </w:rPr>
        <w:t xml:space="preserve">kopija gradbenega dovoljenja, opremljenega z žigom o pravnomočnosti, predložena najkasneje do </w:t>
      </w:r>
      <w:r w:rsidR="002E7423">
        <w:rPr>
          <w:rFonts w:ascii="Arial" w:eastAsia="Times New Roman" w:hAnsi="Arial" w:cs="Arial"/>
          <w:bCs/>
          <w:lang w:eastAsia="sl-SI"/>
        </w:rPr>
        <w:t>izteka</w:t>
      </w:r>
      <w:r w:rsidR="002E7423" w:rsidRPr="00634C27">
        <w:rPr>
          <w:rFonts w:ascii="Arial" w:eastAsia="Times New Roman" w:hAnsi="Arial" w:cs="Arial"/>
          <w:bCs/>
          <w:lang w:eastAsia="sl-SI"/>
        </w:rPr>
        <w:t xml:space="preserve"> </w:t>
      </w:r>
      <w:r w:rsidR="002E7423">
        <w:rPr>
          <w:rFonts w:ascii="Arial" w:eastAsia="Times New Roman" w:hAnsi="Arial" w:cs="Arial"/>
          <w:bCs/>
          <w:lang w:eastAsia="sl-SI"/>
        </w:rPr>
        <w:t xml:space="preserve">15-dnevnega </w:t>
      </w:r>
      <w:r w:rsidR="002E7423" w:rsidRPr="00634C27">
        <w:rPr>
          <w:rFonts w:ascii="Arial" w:eastAsia="Times New Roman" w:hAnsi="Arial" w:cs="Arial"/>
          <w:bCs/>
          <w:lang w:eastAsia="sl-SI"/>
        </w:rPr>
        <w:t>roka za dopolnitev vloge.</w:t>
      </w:r>
    </w:p>
    <w:p w:rsidR="00CF4114" w:rsidRPr="00634C27" w:rsidRDefault="00CF4114" w:rsidP="00352225">
      <w:pPr>
        <w:spacing w:line="240" w:lineRule="atLeast"/>
        <w:jc w:val="both"/>
        <w:textAlignment w:val="baseline"/>
        <w:rPr>
          <w:rFonts w:ascii="Arial" w:eastAsia="Times New Roman" w:hAnsi="Arial" w:cs="Arial"/>
          <w:bCs/>
          <w:lang w:eastAsia="sl-SI"/>
        </w:rPr>
      </w:pPr>
    </w:p>
    <w:p w:rsidR="00CF4114" w:rsidRPr="00634C27" w:rsidRDefault="00CF4114" w:rsidP="0031173E">
      <w:pPr>
        <w:pStyle w:val="Odstavekseznama"/>
        <w:numPr>
          <w:ilvl w:val="0"/>
          <w:numId w:val="17"/>
        </w:numPr>
        <w:spacing w:line="240" w:lineRule="atLeast"/>
        <w:jc w:val="both"/>
        <w:rPr>
          <w:rFonts w:ascii="Arial" w:eastAsia="Times New Roman" w:hAnsi="Arial" w:cs="Arial"/>
          <w:b/>
          <w:color w:val="222222"/>
        </w:rPr>
      </w:pPr>
      <w:r w:rsidRPr="00634C27">
        <w:rPr>
          <w:rFonts w:ascii="Arial" w:eastAsia="Times New Roman" w:hAnsi="Arial" w:cs="Arial"/>
          <w:b/>
          <w:color w:val="222222"/>
        </w:rPr>
        <w:t xml:space="preserve">Sem upravnik cca 50 apartmajev </w:t>
      </w:r>
      <w:r w:rsidR="00A9054C" w:rsidRPr="00634C27">
        <w:rPr>
          <w:rFonts w:ascii="Arial" w:eastAsia="Times New Roman" w:hAnsi="Arial" w:cs="Arial"/>
          <w:b/>
          <w:color w:val="222222"/>
        </w:rPr>
        <w:t xml:space="preserve">in </w:t>
      </w:r>
      <w:r w:rsidRPr="00634C27">
        <w:rPr>
          <w:rFonts w:ascii="Arial" w:eastAsia="Times New Roman" w:hAnsi="Arial" w:cs="Arial"/>
          <w:b/>
          <w:color w:val="222222"/>
        </w:rPr>
        <w:t>se dogovarjamo, da bomo v roku 2 let izvedli sanacijo fasade in temeljev (streha je že urejena)</w:t>
      </w:r>
      <w:r w:rsidR="00A9054C" w:rsidRPr="00634C27">
        <w:rPr>
          <w:rFonts w:ascii="Arial" w:eastAsia="Times New Roman" w:hAnsi="Arial" w:cs="Arial"/>
          <w:b/>
          <w:color w:val="222222"/>
        </w:rPr>
        <w:t xml:space="preserve">. </w:t>
      </w:r>
      <w:r w:rsidRPr="00634C27">
        <w:rPr>
          <w:rFonts w:ascii="Arial" w:eastAsia="Times New Roman" w:hAnsi="Arial" w:cs="Arial"/>
          <w:b/>
          <w:color w:val="222222"/>
        </w:rPr>
        <w:t>Prosim za informacijo</w:t>
      </w:r>
      <w:r w:rsidR="00A9054C" w:rsidRPr="00634C27">
        <w:rPr>
          <w:rFonts w:ascii="Arial" w:eastAsia="Times New Roman" w:hAnsi="Arial" w:cs="Arial"/>
          <w:b/>
          <w:color w:val="222222"/>
        </w:rPr>
        <w:t>,</w:t>
      </w:r>
      <w:r w:rsidRPr="00634C27">
        <w:rPr>
          <w:rFonts w:ascii="Arial" w:eastAsia="Times New Roman" w:hAnsi="Arial" w:cs="Arial"/>
          <w:b/>
          <w:color w:val="222222"/>
        </w:rPr>
        <w:t xml:space="preserve"> kakšni so postopki za pilotni projekt za </w:t>
      </w:r>
      <w:r w:rsidRPr="00634C27">
        <w:rPr>
          <w:rFonts w:ascii="Arial" w:eastAsia="Times New Roman" w:hAnsi="Arial" w:cs="Arial"/>
          <w:b/>
          <w:bCs/>
          <w:color w:val="222222"/>
        </w:rPr>
        <w:t>financiranje s kombinacijo kredita v breme rezervnega sklada in nepovratnih sredstev</w:t>
      </w:r>
      <w:r w:rsidR="0031173E" w:rsidRPr="00634C27">
        <w:rPr>
          <w:rFonts w:ascii="Arial" w:eastAsia="Times New Roman" w:hAnsi="Arial" w:cs="Arial"/>
          <w:b/>
          <w:bCs/>
          <w:color w:val="222222"/>
        </w:rPr>
        <w:t>.</w:t>
      </w:r>
      <w:r w:rsidRPr="00634C27">
        <w:rPr>
          <w:rFonts w:ascii="Arial" w:eastAsia="Times New Roman" w:hAnsi="Arial" w:cs="Arial"/>
          <w:b/>
          <w:color w:val="222222"/>
        </w:rPr>
        <w:t> </w:t>
      </w:r>
    </w:p>
    <w:p w:rsidR="00CF4114" w:rsidRPr="00634C27" w:rsidRDefault="00CF4114" w:rsidP="00352225">
      <w:pPr>
        <w:spacing w:line="240" w:lineRule="atLeast"/>
        <w:jc w:val="both"/>
        <w:textAlignment w:val="baseline"/>
        <w:rPr>
          <w:rFonts w:ascii="Arial" w:eastAsia="Times New Roman" w:hAnsi="Arial" w:cs="Arial"/>
          <w:bCs/>
          <w:lang w:eastAsia="sl-SI"/>
        </w:rPr>
      </w:pPr>
    </w:p>
    <w:p w:rsidR="00CF4114" w:rsidRPr="00634C27" w:rsidRDefault="00A9054C" w:rsidP="00352225">
      <w:pPr>
        <w:spacing w:line="240" w:lineRule="atLeast"/>
        <w:jc w:val="both"/>
        <w:rPr>
          <w:rFonts w:ascii="Arial" w:hAnsi="Arial" w:cs="Arial"/>
        </w:rPr>
      </w:pPr>
      <w:r w:rsidRPr="00634C27">
        <w:rPr>
          <w:rFonts w:ascii="Arial" w:hAnsi="Arial" w:cs="Arial"/>
        </w:rPr>
        <w:t>O</w:t>
      </w:r>
      <w:r w:rsidR="00CF4114" w:rsidRPr="00634C27">
        <w:rPr>
          <w:rFonts w:ascii="Arial" w:hAnsi="Arial" w:cs="Arial"/>
        </w:rPr>
        <w:t>ba nova pilotna razpisa v prilogah Tehnični pogoji določata, da mora celovita prenova obsegati usklajeno izvedbo vsaj naslednjih obveznih ukrepov energijske prenove:</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A - toplotna izolacija zunanje stene in stene proti neogrevanim prostorom ali zunanje stene ogrevanih prostorov proti terenu; </w:t>
      </w:r>
    </w:p>
    <w:p w:rsidR="00CF4114" w:rsidRPr="00634C27" w:rsidRDefault="00CF4114" w:rsidP="00352225">
      <w:pPr>
        <w:spacing w:line="240" w:lineRule="atLeast"/>
        <w:jc w:val="both"/>
        <w:rPr>
          <w:rFonts w:ascii="Arial" w:hAnsi="Arial" w:cs="Arial"/>
        </w:rPr>
      </w:pPr>
      <w:r w:rsidRPr="00634C27">
        <w:rPr>
          <w:rFonts w:ascii="Arial" w:hAnsi="Arial" w:cs="Arial"/>
        </w:rPr>
        <w:t>B - toplotna izolacija ravne strehe, poševne strehe ali stropa proti neogrevanemu prostoru;</w:t>
      </w:r>
    </w:p>
    <w:p w:rsidR="00CF4114" w:rsidRPr="00634C27" w:rsidRDefault="00CF4114" w:rsidP="00352225">
      <w:pPr>
        <w:spacing w:line="240" w:lineRule="atLeast"/>
        <w:jc w:val="both"/>
        <w:rPr>
          <w:rFonts w:ascii="Arial" w:hAnsi="Arial" w:cs="Arial"/>
        </w:rPr>
      </w:pPr>
      <w:r w:rsidRPr="00634C27">
        <w:rPr>
          <w:rFonts w:ascii="Arial" w:hAnsi="Arial" w:cs="Arial"/>
        </w:rPr>
        <w:t>C - optimizacija sistema ogrevanja.</w:t>
      </w:r>
    </w:p>
    <w:p w:rsidR="00CF4114" w:rsidRPr="00634C27" w:rsidRDefault="00CF4114"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Celovita prenova lahko poleg obveznih ukrepov obsega izvedbo naslednjih ukrepov:</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D - toplotna izolacija tal na terenu, nad zunanjim zrakom ali nad neogrevanim prostorom; </w:t>
      </w:r>
    </w:p>
    <w:p w:rsidR="00CF4114" w:rsidRPr="00634C27" w:rsidRDefault="00CF4114" w:rsidP="00352225">
      <w:pPr>
        <w:spacing w:line="240" w:lineRule="atLeast"/>
        <w:jc w:val="both"/>
        <w:rPr>
          <w:rFonts w:ascii="Arial" w:hAnsi="Arial" w:cs="Arial"/>
        </w:rPr>
      </w:pPr>
      <w:r w:rsidRPr="00634C27">
        <w:rPr>
          <w:rFonts w:ascii="Arial" w:hAnsi="Arial" w:cs="Arial"/>
        </w:rPr>
        <w:t>E - vgradnja prezračevanja z vračanjem toplote odpadnega zraka;</w:t>
      </w:r>
    </w:p>
    <w:p w:rsidR="00CF4114" w:rsidRPr="00634C27" w:rsidRDefault="00CF4114" w:rsidP="00352225">
      <w:pPr>
        <w:spacing w:line="240" w:lineRule="atLeast"/>
        <w:jc w:val="both"/>
        <w:rPr>
          <w:rFonts w:ascii="Arial" w:hAnsi="Arial" w:cs="Arial"/>
        </w:rPr>
      </w:pPr>
      <w:r w:rsidRPr="00634C27">
        <w:rPr>
          <w:rFonts w:ascii="Arial" w:hAnsi="Arial" w:cs="Arial"/>
        </w:rPr>
        <w:lastRenderedPageBreak/>
        <w:t>F - zamenjava starih kurilnih naprav v skupni kotlovnici;</w:t>
      </w:r>
    </w:p>
    <w:p w:rsidR="00CF4114" w:rsidRPr="00634C27" w:rsidRDefault="00CF4114" w:rsidP="00352225">
      <w:pPr>
        <w:spacing w:line="240" w:lineRule="atLeast"/>
        <w:jc w:val="both"/>
        <w:rPr>
          <w:rFonts w:ascii="Arial" w:hAnsi="Arial" w:cs="Arial"/>
        </w:rPr>
      </w:pPr>
      <w:r w:rsidRPr="00634C27">
        <w:rPr>
          <w:rFonts w:ascii="Arial" w:hAnsi="Arial" w:cs="Arial"/>
        </w:rPr>
        <w:t>G - skupnostna samooskrba z električno energijo;</w:t>
      </w:r>
    </w:p>
    <w:p w:rsidR="00CF4114" w:rsidRPr="00634C27" w:rsidRDefault="00CF4114" w:rsidP="00352225">
      <w:pPr>
        <w:spacing w:line="240" w:lineRule="atLeast"/>
        <w:jc w:val="both"/>
        <w:rPr>
          <w:rFonts w:ascii="Arial" w:hAnsi="Arial" w:cs="Arial"/>
        </w:rPr>
      </w:pPr>
      <w:r w:rsidRPr="00634C27">
        <w:rPr>
          <w:rFonts w:ascii="Arial" w:hAnsi="Arial" w:cs="Arial"/>
        </w:rPr>
        <w:t>H - zamenjava zunanjega stavbnega pohištva;</w:t>
      </w:r>
    </w:p>
    <w:p w:rsidR="00CF4114" w:rsidRPr="00634C27" w:rsidRDefault="00CF4114" w:rsidP="00352225">
      <w:pPr>
        <w:spacing w:line="240" w:lineRule="atLeast"/>
        <w:jc w:val="both"/>
        <w:rPr>
          <w:rFonts w:ascii="Arial" w:hAnsi="Arial" w:cs="Arial"/>
        </w:rPr>
      </w:pPr>
      <w:r w:rsidRPr="00634C27">
        <w:rPr>
          <w:rFonts w:ascii="Arial" w:hAnsi="Arial" w:cs="Arial"/>
        </w:rPr>
        <w:t>I - vgradnja energijsko učinkovitega sistema razsvetljave v skupnih prostorih;</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J - dodatni ukrepi trajnostne gradnje. </w:t>
      </w:r>
    </w:p>
    <w:p w:rsidR="00CF4114" w:rsidRPr="00634C27" w:rsidRDefault="00CF4114" w:rsidP="00352225">
      <w:pPr>
        <w:spacing w:line="240" w:lineRule="atLeast"/>
        <w:jc w:val="both"/>
        <w:rPr>
          <w:rFonts w:ascii="Arial" w:hAnsi="Arial" w:cs="Arial"/>
        </w:rPr>
      </w:pPr>
      <w:r w:rsidRPr="00634C27">
        <w:rPr>
          <w:rFonts w:ascii="Arial" w:hAnsi="Arial" w:cs="Arial"/>
        </w:rPr>
        <w:t> </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Pri načrtovanih ukrepih, ki ste jih navedli, torej manjkata vsaj še ukrepa B in C. </w:t>
      </w:r>
    </w:p>
    <w:p w:rsidR="00CF4114" w:rsidRPr="00634C27" w:rsidRDefault="00CF4114"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 xml:space="preserve">Dalje oba pilotna javna razpisa določata, da mora stavba, ki bo celovito prenovljena, imeti več kot 8 (osem) različnih etažnih lastnikov, več kot 8 (osem) posameznih delov, namembnost več kot polovice površine stavbe mora biti stanovanjska in več kot polovica vseh etažnih lastnikov stavbe mora biti fizičnih oseb (občanov). Kot upravičene osebe so v 2. točki javnega razpisa navedeni samo </w:t>
      </w:r>
      <w:r w:rsidRPr="00634C27">
        <w:rPr>
          <w:rFonts w:ascii="Arial" w:hAnsi="Arial" w:cs="Arial"/>
          <w:u w:val="single"/>
        </w:rPr>
        <w:t>etažni</w:t>
      </w:r>
      <w:r w:rsidRPr="00634C27">
        <w:rPr>
          <w:rFonts w:ascii="Arial" w:hAnsi="Arial" w:cs="Arial"/>
        </w:rPr>
        <w:t xml:space="preserve"> (so)lastniki starejše večstanovanjske stavbe. Obvezno je torej, da je vzpostavljena etažna lastnina, skladno s 107. členom Stvarnopravnega zakonika pa </w:t>
      </w:r>
      <w:r w:rsidRPr="00634C27">
        <w:rPr>
          <w:rFonts w:ascii="Arial" w:hAnsi="Arial" w:cs="Arial"/>
          <w:u w:val="single"/>
        </w:rPr>
        <w:t>etažna lastnina nastane</w:t>
      </w:r>
      <w:r w:rsidRPr="00634C27">
        <w:rPr>
          <w:rFonts w:ascii="Arial" w:hAnsi="Arial" w:cs="Arial"/>
        </w:rPr>
        <w:t xml:space="preserve"> na podlagi pravnega posla ali z odločbo sodišča in </w:t>
      </w:r>
      <w:r w:rsidRPr="00634C27">
        <w:rPr>
          <w:rFonts w:ascii="Arial" w:hAnsi="Arial" w:cs="Arial"/>
          <w:u w:val="single"/>
        </w:rPr>
        <w:t>z vpisom v zemljiško knjigo</w:t>
      </w:r>
      <w:r w:rsidRPr="00634C27">
        <w:rPr>
          <w:rFonts w:ascii="Arial" w:hAnsi="Arial" w:cs="Arial"/>
        </w:rPr>
        <w:t xml:space="preserve">. Tako javni razpis določa še, da bo Eko sklad podatke o etažnih lastnikih preveril z vpogledom Zemljiško knjigo. </w:t>
      </w:r>
    </w:p>
    <w:p w:rsidR="00CF4114" w:rsidRPr="00634C27" w:rsidRDefault="00CF4114" w:rsidP="00352225">
      <w:pPr>
        <w:spacing w:line="240" w:lineRule="atLeast"/>
        <w:jc w:val="both"/>
        <w:rPr>
          <w:rFonts w:ascii="Arial" w:hAnsi="Arial" w:cs="Arial"/>
        </w:rPr>
      </w:pPr>
      <w:r w:rsidRPr="00634C27">
        <w:rPr>
          <w:rFonts w:ascii="Arial" w:hAnsi="Arial" w:cs="Arial"/>
        </w:rPr>
        <w:t> </w:t>
      </w:r>
    </w:p>
    <w:p w:rsidR="00CF4114" w:rsidRPr="00634C27" w:rsidRDefault="00CF4114" w:rsidP="00352225">
      <w:pPr>
        <w:spacing w:line="240" w:lineRule="atLeast"/>
        <w:jc w:val="both"/>
        <w:textAlignment w:val="baseline"/>
        <w:rPr>
          <w:rFonts w:ascii="Arial" w:hAnsi="Arial" w:cs="Arial"/>
          <w:b/>
        </w:rPr>
      </w:pPr>
    </w:p>
    <w:p w:rsidR="00CF4114" w:rsidRPr="00634C27" w:rsidRDefault="00CF4114" w:rsidP="0031173E">
      <w:pPr>
        <w:pStyle w:val="Odstavekseznama"/>
        <w:numPr>
          <w:ilvl w:val="0"/>
          <w:numId w:val="17"/>
        </w:numPr>
        <w:spacing w:line="240" w:lineRule="atLeast"/>
        <w:jc w:val="both"/>
        <w:textAlignment w:val="baseline"/>
        <w:rPr>
          <w:rFonts w:ascii="Arial" w:eastAsia="Times New Roman" w:hAnsi="Arial" w:cs="Arial"/>
          <w:b/>
          <w:bCs/>
          <w:lang w:eastAsia="sl-SI"/>
        </w:rPr>
      </w:pPr>
      <w:r w:rsidRPr="00634C27">
        <w:rPr>
          <w:rFonts w:ascii="Arial" w:eastAsia="Times New Roman" w:hAnsi="Arial" w:cs="Arial"/>
          <w:b/>
          <w:bCs/>
          <w:lang w:eastAsia="sl-SI"/>
        </w:rPr>
        <w:t>Ali morajo biti etažni lastniki vpisani v ZK?</w:t>
      </w:r>
    </w:p>
    <w:p w:rsidR="00CF4114" w:rsidRPr="00634C27" w:rsidRDefault="00CF4114" w:rsidP="00352225">
      <w:pPr>
        <w:spacing w:line="240" w:lineRule="atLeast"/>
        <w:jc w:val="both"/>
        <w:rPr>
          <w:rFonts w:ascii="Arial" w:hAnsi="Arial" w:cs="Arial"/>
        </w:rPr>
      </w:pPr>
      <w:r w:rsidRPr="00634C27">
        <w:rPr>
          <w:rFonts w:ascii="Arial" w:hAnsi="Arial" w:cs="Arial"/>
        </w:rPr>
        <w:t>V javnem razpisu je določeno, da bomo etažne lastnike preverili z vpogledom v elektronsko zemljiško knjigo. Dalje Stvarnopravni zakonik (Uradni list RS, št. 87/02, 91/13 in 23/20) v 49. členu (Pridobitev lastninske pravice s pravnim poslom) določa:</w:t>
      </w:r>
    </w:p>
    <w:p w:rsidR="00CF4114" w:rsidRPr="00634C27" w:rsidRDefault="00CF4114" w:rsidP="00352225">
      <w:pPr>
        <w:spacing w:line="240" w:lineRule="atLeast"/>
        <w:jc w:val="both"/>
        <w:rPr>
          <w:rFonts w:ascii="Arial" w:hAnsi="Arial" w:cs="Arial"/>
        </w:rPr>
      </w:pPr>
      <w:r w:rsidRPr="00634C27">
        <w:rPr>
          <w:rFonts w:ascii="Arial" w:hAnsi="Arial" w:cs="Arial"/>
        </w:rPr>
        <w:t>(1) Za pridobitev lastninske pravice na nepremičnini s pravnim poslom se zahteva vpis v zemljiško knjigo.</w:t>
      </w:r>
    </w:p>
    <w:p w:rsidR="00CF4114" w:rsidRPr="00634C27" w:rsidRDefault="00CF4114" w:rsidP="00352225">
      <w:pPr>
        <w:spacing w:line="240" w:lineRule="atLeast"/>
        <w:jc w:val="both"/>
        <w:rPr>
          <w:rFonts w:ascii="Arial" w:hAnsi="Arial" w:cs="Arial"/>
        </w:rPr>
      </w:pPr>
      <w:r w:rsidRPr="00634C27">
        <w:rPr>
          <w:rFonts w:ascii="Arial" w:hAnsi="Arial" w:cs="Arial"/>
        </w:rPr>
        <w:t>(2) Vpis v zemljiško knjigo se opravi na podlagi listine, ki vsebuje zemljiškoknjižno dovolilo.</w:t>
      </w:r>
    </w:p>
    <w:p w:rsidR="00CF4114" w:rsidRPr="00634C27" w:rsidRDefault="00CF4114"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 xml:space="preserve">Glede na navedeno bo potreben vpis v Zemljiško knjigo. Predlagamo, da če postopek vpisa v ZK še poteka, predložite kupoprodajno pogodbo in dokazilo o začetku postopka vpisa v ZK. Če bo vpis v ZK opravljen na podlagi sodbe, pa pravnomočno sodbo. </w:t>
      </w:r>
    </w:p>
    <w:p w:rsidR="00CF4114" w:rsidRPr="00634C27" w:rsidRDefault="00CF4114" w:rsidP="00352225">
      <w:pPr>
        <w:spacing w:line="240" w:lineRule="atLeast"/>
        <w:jc w:val="both"/>
        <w:textAlignment w:val="baseline"/>
        <w:rPr>
          <w:rFonts w:ascii="Arial" w:eastAsia="Times New Roman" w:hAnsi="Arial" w:cs="Arial"/>
          <w:bCs/>
          <w:lang w:eastAsia="sl-SI"/>
        </w:rPr>
      </w:pPr>
    </w:p>
    <w:p w:rsidR="00CF4114" w:rsidRPr="00634C27" w:rsidRDefault="00CF4114" w:rsidP="0031173E">
      <w:pPr>
        <w:pStyle w:val="Odstavekseznama"/>
        <w:numPr>
          <w:ilvl w:val="0"/>
          <w:numId w:val="17"/>
        </w:numPr>
        <w:spacing w:line="240" w:lineRule="atLeast"/>
        <w:jc w:val="both"/>
        <w:rPr>
          <w:rFonts w:ascii="Arial" w:hAnsi="Arial" w:cs="Arial"/>
          <w:b/>
        </w:rPr>
      </w:pPr>
      <w:r w:rsidRPr="00634C27">
        <w:rPr>
          <w:rFonts w:ascii="Arial" w:hAnsi="Arial" w:cs="Arial"/>
          <w:b/>
        </w:rPr>
        <w:t>Kot upravniki večstanovanjske stavbe v  zvezi z razpisom spodbude za pilotne projekte celovite prenove večstanovanjskih stavb prosimo za povratno informacijo  glede izpolnjevanja pogojev po omenjenem  razpisu:</w:t>
      </w:r>
      <w:r w:rsidRPr="00634C27">
        <w:rPr>
          <w:rFonts w:ascii="Arial" w:eastAsia="Times New Roman" w:hAnsi="Arial" w:cs="Arial"/>
          <w:b/>
        </w:rPr>
        <w:t> 6 stanovanj in 3 skupni prostori (po podatkih GURS</w:t>
      </w:r>
      <w:r w:rsidR="00B11818">
        <w:rPr>
          <w:rFonts w:ascii="Arial" w:eastAsia="Times New Roman" w:hAnsi="Arial" w:cs="Arial"/>
          <w:b/>
        </w:rPr>
        <w:t xml:space="preserve"> </w:t>
      </w:r>
      <w:r w:rsidRPr="00634C27">
        <w:rPr>
          <w:rFonts w:ascii="Arial" w:eastAsia="Times New Roman" w:hAnsi="Arial" w:cs="Arial"/>
          <w:b/>
        </w:rPr>
        <w:t xml:space="preserve">je 9 delov stavbe) – ali se pod število delov upoštevajo tudi skupni prostori ali samo stanovanjske enote? </w:t>
      </w:r>
      <w:r w:rsidR="00A9054C" w:rsidRPr="00634C27">
        <w:rPr>
          <w:rFonts w:ascii="Arial" w:eastAsia="Times New Roman" w:hAnsi="Arial" w:cs="Arial"/>
          <w:b/>
        </w:rPr>
        <w:t>V</w:t>
      </w:r>
      <w:r w:rsidRPr="00634C27">
        <w:rPr>
          <w:rFonts w:ascii="Arial" w:eastAsia="Times New Roman" w:hAnsi="Arial" w:cs="Arial"/>
          <w:b/>
        </w:rPr>
        <w:t xml:space="preserve"> stavbi je 9 etažnih lastnikov – solastnikov (posameznega stanovanja sta 2 lastnika, vsak do 1/2) – vsi so fizične osebe</w:t>
      </w:r>
      <w:r w:rsidR="00A9054C" w:rsidRPr="00634C27">
        <w:rPr>
          <w:rFonts w:ascii="Arial" w:eastAsia="Times New Roman" w:hAnsi="Arial" w:cs="Arial"/>
          <w:b/>
        </w:rPr>
        <w:t xml:space="preserve">. </w:t>
      </w:r>
      <w:r w:rsidRPr="00634C27">
        <w:rPr>
          <w:rFonts w:ascii="Arial" w:hAnsi="Arial" w:cs="Arial"/>
          <w:b/>
        </w:rPr>
        <w:t>Izvedla bi se:</w:t>
      </w:r>
    </w:p>
    <w:p w:rsidR="00CF4114" w:rsidRPr="00634C27" w:rsidRDefault="00B11818" w:rsidP="00352225">
      <w:pPr>
        <w:pStyle w:val="Odstavekseznama"/>
        <w:numPr>
          <w:ilvl w:val="0"/>
          <w:numId w:val="14"/>
        </w:numPr>
        <w:spacing w:line="240" w:lineRule="atLeast"/>
        <w:contextualSpacing w:val="0"/>
        <w:jc w:val="both"/>
        <w:rPr>
          <w:rFonts w:ascii="Arial" w:eastAsia="Times New Roman" w:hAnsi="Arial" w:cs="Arial"/>
          <w:b/>
        </w:rPr>
      </w:pPr>
      <w:r>
        <w:rPr>
          <w:rFonts w:ascii="Arial" w:eastAsia="Times New Roman" w:hAnsi="Arial" w:cs="Arial"/>
          <w:b/>
        </w:rPr>
        <w:t>s</w:t>
      </w:r>
      <w:r w:rsidR="00CF4114" w:rsidRPr="00634C27">
        <w:rPr>
          <w:rFonts w:ascii="Arial" w:eastAsia="Times New Roman" w:hAnsi="Arial" w:cs="Arial"/>
          <w:b/>
        </w:rPr>
        <w:t>tatična sanacija</w:t>
      </w:r>
    </w:p>
    <w:p w:rsidR="00CF4114" w:rsidRPr="00634C27" w:rsidRDefault="00B11818" w:rsidP="00352225">
      <w:pPr>
        <w:pStyle w:val="Odstavekseznama"/>
        <w:numPr>
          <w:ilvl w:val="0"/>
          <w:numId w:val="14"/>
        </w:numPr>
        <w:spacing w:line="240" w:lineRule="atLeast"/>
        <w:contextualSpacing w:val="0"/>
        <w:jc w:val="both"/>
        <w:rPr>
          <w:rFonts w:ascii="Arial" w:eastAsia="Times New Roman" w:hAnsi="Arial" w:cs="Arial"/>
          <w:b/>
        </w:rPr>
      </w:pPr>
      <w:r>
        <w:rPr>
          <w:rFonts w:ascii="Arial" w:eastAsia="Times New Roman" w:hAnsi="Arial" w:cs="Arial"/>
          <w:b/>
        </w:rPr>
        <w:t>t</w:t>
      </w:r>
      <w:r w:rsidR="00CF4114" w:rsidRPr="00634C27">
        <w:rPr>
          <w:rFonts w:ascii="Arial" w:eastAsia="Times New Roman" w:hAnsi="Arial" w:cs="Arial"/>
          <w:b/>
        </w:rPr>
        <w:t>oplotna izolacija fasade  </w:t>
      </w:r>
    </w:p>
    <w:p w:rsidR="00CF4114" w:rsidRPr="00634C27" w:rsidRDefault="00B11818" w:rsidP="00352225">
      <w:pPr>
        <w:pStyle w:val="Odstavekseznama"/>
        <w:numPr>
          <w:ilvl w:val="0"/>
          <w:numId w:val="14"/>
        </w:numPr>
        <w:spacing w:line="240" w:lineRule="atLeast"/>
        <w:contextualSpacing w:val="0"/>
        <w:jc w:val="both"/>
        <w:rPr>
          <w:rFonts w:ascii="Arial" w:eastAsia="Times New Roman" w:hAnsi="Arial" w:cs="Arial"/>
          <w:b/>
        </w:rPr>
      </w:pPr>
      <w:r>
        <w:rPr>
          <w:rFonts w:ascii="Arial" w:eastAsia="Times New Roman" w:hAnsi="Arial" w:cs="Arial"/>
          <w:b/>
        </w:rPr>
        <w:t>t</w:t>
      </w:r>
      <w:r w:rsidR="00CF4114" w:rsidRPr="00634C27">
        <w:rPr>
          <w:rFonts w:ascii="Arial" w:eastAsia="Times New Roman" w:hAnsi="Arial" w:cs="Arial"/>
          <w:b/>
        </w:rPr>
        <w:t>oplotna izolacija ravne strehe, poševne strehe ali stropa proti neogrevanemu prostoru</w:t>
      </w:r>
      <w:r w:rsidR="00DB6B30" w:rsidRPr="00634C27">
        <w:rPr>
          <w:rFonts w:ascii="Arial" w:eastAsia="Times New Roman" w:hAnsi="Arial" w:cs="Arial"/>
          <w:b/>
        </w:rPr>
        <w:t>.</w:t>
      </w:r>
    </w:p>
    <w:p w:rsidR="00CF4114" w:rsidRPr="00634C27" w:rsidRDefault="00CF4114" w:rsidP="00352225">
      <w:pPr>
        <w:spacing w:line="240" w:lineRule="atLeast"/>
        <w:jc w:val="both"/>
        <w:textAlignment w:val="baseline"/>
        <w:rPr>
          <w:rFonts w:ascii="Arial" w:eastAsia="Times New Roman" w:hAnsi="Arial" w:cs="Arial"/>
          <w:b/>
          <w:bCs/>
          <w:lang w:eastAsia="sl-SI"/>
        </w:rPr>
      </w:pPr>
    </w:p>
    <w:p w:rsidR="00A9054C" w:rsidRPr="00634C27" w:rsidRDefault="00A9054C" w:rsidP="00352225">
      <w:pPr>
        <w:spacing w:line="240" w:lineRule="atLeast"/>
        <w:jc w:val="both"/>
        <w:rPr>
          <w:rFonts w:ascii="Arial" w:hAnsi="Arial" w:cs="Arial"/>
        </w:rPr>
      </w:pPr>
      <w:r w:rsidRPr="00634C27">
        <w:rPr>
          <w:rFonts w:ascii="Arial" w:hAnsi="Arial" w:cs="Arial"/>
        </w:rPr>
        <w:lastRenderedPageBreak/>
        <w:t>Oba pilotna razpisa v prilogah Tehnični pogoji določata, da mora celovita prenova obsegati usklajeno izvedbo vsaj naslednjih obveznih ukrepov energijske prenove:</w:t>
      </w:r>
    </w:p>
    <w:p w:rsidR="00A9054C" w:rsidRPr="00634C27" w:rsidRDefault="00A9054C" w:rsidP="00352225">
      <w:pPr>
        <w:pStyle w:val="Odstavekseznama"/>
        <w:numPr>
          <w:ilvl w:val="0"/>
          <w:numId w:val="15"/>
        </w:numPr>
        <w:spacing w:line="240" w:lineRule="atLeast"/>
        <w:jc w:val="both"/>
        <w:rPr>
          <w:rFonts w:ascii="Arial" w:eastAsia="Times New Roman" w:hAnsi="Arial" w:cs="Arial"/>
        </w:rPr>
      </w:pPr>
      <w:r w:rsidRPr="00634C27">
        <w:rPr>
          <w:rFonts w:ascii="Arial" w:eastAsia="Times New Roman" w:hAnsi="Arial" w:cs="Arial"/>
        </w:rPr>
        <w:t xml:space="preserve">toplotna izolacija zunanje stene in stene proti neogrevanim prostorom ali zunanje stene ogrevanih prostorov proti terenu; </w:t>
      </w:r>
    </w:p>
    <w:p w:rsidR="00A9054C" w:rsidRPr="00634C27" w:rsidRDefault="00A9054C" w:rsidP="00352225">
      <w:pPr>
        <w:pStyle w:val="Odstavekseznama"/>
        <w:numPr>
          <w:ilvl w:val="0"/>
          <w:numId w:val="15"/>
        </w:numPr>
        <w:spacing w:line="240" w:lineRule="atLeast"/>
        <w:jc w:val="both"/>
        <w:rPr>
          <w:rFonts w:ascii="Arial" w:eastAsia="Times New Roman" w:hAnsi="Arial" w:cs="Arial"/>
        </w:rPr>
      </w:pPr>
      <w:r w:rsidRPr="00634C27">
        <w:rPr>
          <w:rFonts w:ascii="Arial" w:eastAsia="Times New Roman" w:hAnsi="Arial" w:cs="Arial"/>
        </w:rPr>
        <w:t>toplotna izolacija ravne strehe, poševne strehe ali stropa proti neogrevanemu prostoru;</w:t>
      </w:r>
    </w:p>
    <w:p w:rsidR="00A9054C" w:rsidRPr="00634C27" w:rsidRDefault="00A9054C" w:rsidP="00352225">
      <w:pPr>
        <w:pStyle w:val="Odstavekseznama"/>
        <w:numPr>
          <w:ilvl w:val="0"/>
          <w:numId w:val="15"/>
        </w:numPr>
        <w:spacing w:line="240" w:lineRule="atLeast"/>
        <w:jc w:val="both"/>
        <w:rPr>
          <w:rFonts w:ascii="Arial" w:eastAsia="Times New Roman" w:hAnsi="Arial" w:cs="Arial"/>
        </w:rPr>
      </w:pPr>
      <w:r w:rsidRPr="00634C27">
        <w:rPr>
          <w:rFonts w:ascii="Arial" w:eastAsia="Times New Roman" w:hAnsi="Arial" w:cs="Arial"/>
        </w:rPr>
        <w:t>optimizacija sistema ogrevanja.</w:t>
      </w:r>
    </w:p>
    <w:p w:rsidR="00A9054C" w:rsidRPr="00634C27" w:rsidRDefault="00A9054C" w:rsidP="00352225">
      <w:pPr>
        <w:spacing w:line="240" w:lineRule="atLeast"/>
        <w:jc w:val="both"/>
        <w:rPr>
          <w:rFonts w:ascii="Arial" w:eastAsiaTheme="minorHAnsi" w:hAnsi="Arial" w:cs="Arial"/>
        </w:rPr>
      </w:pPr>
    </w:p>
    <w:p w:rsidR="00A9054C" w:rsidRPr="00634C27" w:rsidRDefault="00A9054C" w:rsidP="00352225">
      <w:pPr>
        <w:spacing w:line="240" w:lineRule="atLeast"/>
        <w:jc w:val="both"/>
        <w:rPr>
          <w:rFonts w:ascii="Arial" w:hAnsi="Arial" w:cs="Arial"/>
        </w:rPr>
      </w:pPr>
      <w:r w:rsidRPr="00634C27">
        <w:rPr>
          <w:rFonts w:ascii="Arial" w:hAnsi="Arial" w:cs="Arial"/>
        </w:rPr>
        <w:t>Celovita prenova lahko poleg obveznih ukrepov obsega izvedbo naslednjih ukrepov:</w:t>
      </w:r>
    </w:p>
    <w:p w:rsidR="00A9054C" w:rsidRPr="00634C27" w:rsidRDefault="00A9054C" w:rsidP="00352225">
      <w:pPr>
        <w:spacing w:line="240" w:lineRule="atLeast"/>
        <w:ind w:left="360"/>
        <w:jc w:val="both"/>
        <w:rPr>
          <w:rFonts w:ascii="Arial" w:hAnsi="Arial" w:cs="Arial"/>
        </w:rPr>
      </w:pPr>
      <w:r w:rsidRPr="00634C27">
        <w:rPr>
          <w:rFonts w:ascii="Arial" w:hAnsi="Arial" w:cs="Arial"/>
        </w:rPr>
        <w:t xml:space="preserve">D - toplotna izolacija tal na terenu, nad zunanjim zrakom ali nad neogrevanim prostorom; </w:t>
      </w:r>
    </w:p>
    <w:p w:rsidR="00A9054C" w:rsidRPr="00634C27" w:rsidRDefault="00A9054C" w:rsidP="00352225">
      <w:pPr>
        <w:spacing w:line="240" w:lineRule="atLeast"/>
        <w:ind w:left="360"/>
        <w:jc w:val="both"/>
        <w:rPr>
          <w:rFonts w:ascii="Arial" w:hAnsi="Arial" w:cs="Arial"/>
        </w:rPr>
      </w:pPr>
      <w:r w:rsidRPr="00634C27">
        <w:rPr>
          <w:rFonts w:ascii="Arial" w:hAnsi="Arial" w:cs="Arial"/>
        </w:rPr>
        <w:t>E - vgradnja prezračevanja z vračanjem toplote odpadnega zraka;</w:t>
      </w:r>
    </w:p>
    <w:p w:rsidR="00A9054C" w:rsidRPr="00634C27" w:rsidRDefault="00A9054C" w:rsidP="00352225">
      <w:pPr>
        <w:spacing w:line="240" w:lineRule="atLeast"/>
        <w:ind w:left="360"/>
        <w:jc w:val="both"/>
        <w:rPr>
          <w:rFonts w:ascii="Arial" w:hAnsi="Arial" w:cs="Arial"/>
        </w:rPr>
      </w:pPr>
      <w:r w:rsidRPr="00634C27">
        <w:rPr>
          <w:rFonts w:ascii="Arial" w:hAnsi="Arial" w:cs="Arial"/>
        </w:rPr>
        <w:t>F - zamenjava starih kurilnih naprav v skupni kotlovnici;</w:t>
      </w:r>
    </w:p>
    <w:p w:rsidR="00A9054C" w:rsidRPr="00634C27" w:rsidRDefault="00A9054C" w:rsidP="00352225">
      <w:pPr>
        <w:spacing w:line="240" w:lineRule="atLeast"/>
        <w:ind w:left="360"/>
        <w:jc w:val="both"/>
        <w:rPr>
          <w:rFonts w:ascii="Arial" w:hAnsi="Arial" w:cs="Arial"/>
        </w:rPr>
      </w:pPr>
      <w:r w:rsidRPr="00634C27">
        <w:rPr>
          <w:rFonts w:ascii="Arial" w:hAnsi="Arial" w:cs="Arial"/>
        </w:rPr>
        <w:t>G - skupnostna samooskrba z električno energijo;</w:t>
      </w:r>
    </w:p>
    <w:p w:rsidR="00A9054C" w:rsidRPr="00634C27" w:rsidRDefault="00A9054C" w:rsidP="00352225">
      <w:pPr>
        <w:spacing w:line="240" w:lineRule="atLeast"/>
        <w:ind w:left="360"/>
        <w:jc w:val="both"/>
        <w:rPr>
          <w:rFonts w:ascii="Arial" w:hAnsi="Arial" w:cs="Arial"/>
        </w:rPr>
      </w:pPr>
      <w:r w:rsidRPr="00634C27">
        <w:rPr>
          <w:rFonts w:ascii="Arial" w:hAnsi="Arial" w:cs="Arial"/>
        </w:rPr>
        <w:t>H - zamenjava zunanjega stavbnega pohištva;</w:t>
      </w:r>
    </w:p>
    <w:p w:rsidR="00A9054C" w:rsidRPr="00634C27" w:rsidRDefault="00A9054C" w:rsidP="00352225">
      <w:pPr>
        <w:spacing w:line="240" w:lineRule="atLeast"/>
        <w:ind w:left="360"/>
        <w:jc w:val="both"/>
        <w:rPr>
          <w:rFonts w:ascii="Arial" w:hAnsi="Arial" w:cs="Arial"/>
        </w:rPr>
      </w:pPr>
      <w:r w:rsidRPr="00634C27">
        <w:rPr>
          <w:rFonts w:ascii="Arial" w:hAnsi="Arial" w:cs="Arial"/>
        </w:rPr>
        <w:t>I - vgradnja energijsko učinkovitega sistema razsvetljave v skupnih prostorih;</w:t>
      </w:r>
    </w:p>
    <w:p w:rsidR="00A9054C" w:rsidRPr="00634C27" w:rsidRDefault="00A9054C" w:rsidP="00352225">
      <w:pPr>
        <w:spacing w:line="240" w:lineRule="atLeast"/>
        <w:ind w:left="360"/>
        <w:jc w:val="both"/>
        <w:rPr>
          <w:rFonts w:ascii="Arial" w:hAnsi="Arial" w:cs="Arial"/>
        </w:rPr>
      </w:pPr>
      <w:r w:rsidRPr="00634C27">
        <w:rPr>
          <w:rFonts w:ascii="Arial" w:hAnsi="Arial" w:cs="Arial"/>
        </w:rPr>
        <w:t xml:space="preserve">J - dodatni ukrepi trajnostne gradnje. </w:t>
      </w:r>
    </w:p>
    <w:p w:rsidR="00A9054C" w:rsidRPr="00634C27" w:rsidRDefault="00A9054C" w:rsidP="00352225">
      <w:pPr>
        <w:spacing w:line="240" w:lineRule="atLeast"/>
        <w:jc w:val="both"/>
        <w:rPr>
          <w:rFonts w:ascii="Arial" w:hAnsi="Arial" w:cs="Arial"/>
        </w:rPr>
      </w:pPr>
    </w:p>
    <w:p w:rsidR="00DB6B30" w:rsidRPr="00634C27" w:rsidRDefault="00CF4114" w:rsidP="00352225">
      <w:pPr>
        <w:spacing w:line="240" w:lineRule="atLeast"/>
        <w:jc w:val="both"/>
        <w:rPr>
          <w:rFonts w:ascii="Arial" w:hAnsi="Arial" w:cs="Arial"/>
        </w:rPr>
      </w:pPr>
      <w:r w:rsidRPr="00634C27">
        <w:rPr>
          <w:rFonts w:ascii="Arial" w:hAnsi="Arial" w:cs="Arial"/>
        </w:rPr>
        <w:t xml:space="preserve">Dalje oba pilotna javna razpisa določata, da mora stavba, ki bo celovito prenovljena, imeti več kot 8 (osem) različnih etažnih lastnikov, več kot 8 (osem) posameznih delov, namembnost več kot polovice površine stavbe mora biti stanovanjska in več kot polovica vseh etažnih lastnikov stavbe mora biti fizičnih oseb (občanov). </w:t>
      </w:r>
    </w:p>
    <w:p w:rsidR="00DB6B30" w:rsidRPr="00634C27" w:rsidRDefault="00DB6B30"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Kaj se lahko smatra kot posamezni del stavbe, določa Stanovanjski zakon:</w:t>
      </w:r>
    </w:p>
    <w:p w:rsidR="00637FF7" w:rsidRDefault="00637FF7"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4. člen (posamezni deli)</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(1)         Stanovanjske enote v </w:t>
      </w:r>
      <w:proofErr w:type="spellStart"/>
      <w:r w:rsidRPr="00634C27">
        <w:rPr>
          <w:rFonts w:ascii="Arial" w:hAnsi="Arial" w:cs="Arial"/>
        </w:rPr>
        <w:t>dvo</w:t>
      </w:r>
      <w:proofErr w:type="spellEnd"/>
      <w:r w:rsidRPr="00634C27">
        <w:rPr>
          <w:rFonts w:ascii="Arial" w:hAnsi="Arial" w:cs="Arial"/>
        </w:rPr>
        <w:t xml:space="preserve"> ali večstanovanjski stavbi (v nadaljnjem besedilu: večstanovanjska stavba) so stanovanja. Stanovanjske enote v stanovanjski stavbi za posebne namene so bivalne enote.</w:t>
      </w:r>
    </w:p>
    <w:p w:rsidR="00CF4114" w:rsidRPr="00634C27" w:rsidRDefault="00CF4114" w:rsidP="00352225">
      <w:pPr>
        <w:spacing w:line="240" w:lineRule="atLeast"/>
        <w:jc w:val="both"/>
        <w:rPr>
          <w:rFonts w:ascii="Arial" w:hAnsi="Arial" w:cs="Arial"/>
        </w:rPr>
      </w:pPr>
      <w:r w:rsidRPr="00634C27">
        <w:rPr>
          <w:rFonts w:ascii="Arial" w:hAnsi="Arial" w:cs="Arial"/>
        </w:rPr>
        <w:t>(2)          Stanovanje po tem zakonu je skupina prostorov, namenjenih za trajno bivanje, ki so funkcionalna celota, praviloma z enim vhodom, ne glede na to ali so prostori v stanovanjski stavbi ali drugi stavbi.</w:t>
      </w:r>
    </w:p>
    <w:p w:rsidR="00CF4114" w:rsidRPr="00634C27" w:rsidRDefault="00CF4114" w:rsidP="00352225">
      <w:pPr>
        <w:spacing w:line="240" w:lineRule="atLeast"/>
        <w:jc w:val="both"/>
        <w:rPr>
          <w:rFonts w:ascii="Arial" w:hAnsi="Arial" w:cs="Arial"/>
        </w:rPr>
      </w:pPr>
      <w:r w:rsidRPr="00634C27">
        <w:rPr>
          <w:rFonts w:ascii="Arial" w:hAnsi="Arial" w:cs="Arial"/>
        </w:rPr>
        <w:t>(3)          Individualni prostori, ki pripadajo določenim posameznim delom, so lahko atriji, kleti, drvarnice kot tudi garaže, balkoni, terase, lože, če niso sestavni del posameznega dela.</w:t>
      </w:r>
    </w:p>
    <w:p w:rsidR="00637FF7" w:rsidRDefault="00637FF7" w:rsidP="00352225">
      <w:pPr>
        <w:spacing w:line="240" w:lineRule="atLeast"/>
        <w:jc w:val="both"/>
        <w:rPr>
          <w:rFonts w:ascii="Arial" w:hAnsi="Arial" w:cs="Arial"/>
        </w:rPr>
      </w:pPr>
    </w:p>
    <w:p w:rsidR="00CF4114" w:rsidRPr="00634C27" w:rsidRDefault="00CF4114" w:rsidP="00352225">
      <w:pPr>
        <w:spacing w:line="240" w:lineRule="atLeast"/>
        <w:jc w:val="both"/>
        <w:rPr>
          <w:rFonts w:ascii="Arial" w:hAnsi="Arial" w:cs="Arial"/>
        </w:rPr>
      </w:pPr>
      <w:r w:rsidRPr="00634C27">
        <w:rPr>
          <w:rFonts w:ascii="Arial" w:hAnsi="Arial" w:cs="Arial"/>
        </w:rPr>
        <w:t>5. člen (skupni deli)</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(1) Skupni prostori v večstanovanjski stavbi in stanovanjski stavbi za posebne namene so: stopnišča, vhodni vetrolovi, hodniki, kolesarnice, pralnice, sušilnice, skupne kleti, zaklonišča, delavnice za hišnike, hišniška stanovanja, prostori za odlaganje odpadkov in drugi prostori, ki so namenjeni skupni rabi etažnih lastnikov (dovozi, </w:t>
      </w:r>
      <w:proofErr w:type="spellStart"/>
      <w:r w:rsidRPr="00634C27">
        <w:rPr>
          <w:rFonts w:ascii="Arial" w:hAnsi="Arial" w:cs="Arial"/>
        </w:rPr>
        <w:t>klančnine</w:t>
      </w:r>
      <w:proofErr w:type="spellEnd"/>
      <w:r w:rsidRPr="00634C27">
        <w:rPr>
          <w:rFonts w:ascii="Arial" w:hAnsi="Arial" w:cs="Arial"/>
        </w:rPr>
        <w:t xml:space="preserve"> in podobno) ter zemljišče, na katerem stavba stoji, lahko pa tudi drugo zemljišče, na katerem so izpolnjeni pogoji lastništva.</w:t>
      </w:r>
    </w:p>
    <w:p w:rsidR="00CF4114" w:rsidRPr="00634C27" w:rsidRDefault="00CF4114" w:rsidP="00352225">
      <w:pPr>
        <w:spacing w:line="240" w:lineRule="atLeast"/>
        <w:jc w:val="both"/>
        <w:rPr>
          <w:rFonts w:ascii="Arial" w:hAnsi="Arial" w:cs="Arial"/>
        </w:rPr>
      </w:pPr>
      <w:r w:rsidRPr="00634C27">
        <w:rPr>
          <w:rFonts w:ascii="Arial" w:hAnsi="Arial" w:cs="Arial"/>
        </w:rPr>
        <w:t xml:space="preserve">(2) Skupni gradbeni elementi v večstanovanjski stavbi in stanovanjski stavbi za posebne namene so temelji, nosilni zidovi in druge vrste konstrukcij, stropi, streha, </w:t>
      </w:r>
      <w:r w:rsidRPr="00634C27">
        <w:rPr>
          <w:rFonts w:ascii="Arial" w:hAnsi="Arial" w:cs="Arial"/>
        </w:rPr>
        <w:lastRenderedPageBreak/>
        <w:t>fasada, dimniki, prezračevalne tuljave, svetlobni jaški, jaški dvigal in druge podobne konstrukcije.</w:t>
      </w:r>
    </w:p>
    <w:p w:rsidR="00CF4114" w:rsidRPr="00634C27" w:rsidRDefault="00CF4114" w:rsidP="00352225">
      <w:pPr>
        <w:spacing w:line="240" w:lineRule="atLeast"/>
        <w:jc w:val="both"/>
        <w:rPr>
          <w:rFonts w:ascii="Arial" w:hAnsi="Arial" w:cs="Arial"/>
        </w:rPr>
      </w:pPr>
      <w:r w:rsidRPr="00634C27">
        <w:rPr>
          <w:rFonts w:ascii="Arial" w:hAnsi="Arial" w:cs="Arial"/>
        </w:rPr>
        <w:t>(3) Skupne inštalacije, naprave in oprema v večstanovanjski stavbi in stanovanjski stavbi za posebne namene so notranja električna, vodovodna, plinovodna in toplovodna napeljava, ki je za hišnimi priključki in se nahaja v skupnih prostorih, dvigala, kanalizacija, naprave za ogrevanje, televizijske in druge sprejemne antene, strelovodi, naprave za gašenje, odkrivanje in javljanje požara, varnostna razsvetljava in vsi komunalni priključki, ki so namenjeni skupni rabi.</w:t>
      </w:r>
    </w:p>
    <w:p w:rsidR="00CF4114" w:rsidRPr="00634C27" w:rsidRDefault="00CF4114" w:rsidP="00352225">
      <w:pPr>
        <w:spacing w:line="240" w:lineRule="atLeast"/>
        <w:jc w:val="both"/>
        <w:rPr>
          <w:rFonts w:ascii="Arial" w:hAnsi="Arial" w:cs="Arial"/>
        </w:rPr>
      </w:pPr>
      <w:r w:rsidRPr="00634C27">
        <w:rPr>
          <w:rFonts w:ascii="Arial" w:hAnsi="Arial" w:cs="Arial"/>
        </w:rPr>
        <w:t>(4) Kadar služi določen gradbeni element tako posameznemu delu kot skupnim delom, se šteje za skupni del, če se z njim zagotavlja funkcija večstanovanjske stavbe kot celote (toplotna in hidro izolacija pohodne terase, zunanja stran balkona, ki predstavlja hkrati fasado hiše in podobno).</w:t>
      </w:r>
    </w:p>
    <w:p w:rsidR="00CF4114" w:rsidRPr="00634C27" w:rsidRDefault="00CF4114" w:rsidP="00352225">
      <w:pPr>
        <w:spacing w:line="240" w:lineRule="atLeast"/>
        <w:jc w:val="both"/>
        <w:rPr>
          <w:rFonts w:ascii="Arial" w:hAnsi="Arial" w:cs="Arial"/>
        </w:rPr>
      </w:pPr>
    </w:p>
    <w:p w:rsidR="00CF4114" w:rsidRPr="00634C27" w:rsidRDefault="00A9054C" w:rsidP="00352225">
      <w:pPr>
        <w:spacing w:line="240" w:lineRule="atLeast"/>
        <w:jc w:val="both"/>
        <w:rPr>
          <w:rFonts w:ascii="Arial" w:hAnsi="Arial" w:cs="Arial"/>
        </w:rPr>
      </w:pPr>
      <w:r w:rsidRPr="00634C27">
        <w:rPr>
          <w:rFonts w:ascii="Arial" w:hAnsi="Arial" w:cs="Arial"/>
        </w:rPr>
        <w:t>Vaša s</w:t>
      </w:r>
      <w:r w:rsidR="00CF4114" w:rsidRPr="00634C27">
        <w:rPr>
          <w:rFonts w:ascii="Arial" w:hAnsi="Arial" w:cs="Arial"/>
        </w:rPr>
        <w:t>tavba ima po podatkih GURS 6 posameznih delov (stanovanj) in tri skupne dele. Glede na navedeno ugotavljamo, da stavba žal ne izpolnjuje pogoja, da mora imeti stavba več kot 8 posameznih delov stavbe.  </w:t>
      </w:r>
    </w:p>
    <w:p w:rsidR="00A9054C" w:rsidRPr="00634C27" w:rsidRDefault="00A9054C" w:rsidP="00352225">
      <w:pPr>
        <w:spacing w:line="240" w:lineRule="atLeast"/>
        <w:jc w:val="both"/>
        <w:rPr>
          <w:rFonts w:ascii="Arial" w:hAnsi="Arial" w:cs="Arial"/>
        </w:rPr>
      </w:pPr>
    </w:p>
    <w:p w:rsidR="00CF4114" w:rsidRPr="00634C27" w:rsidRDefault="00CF4114" w:rsidP="00352225">
      <w:pPr>
        <w:spacing w:line="240" w:lineRule="atLeast"/>
        <w:jc w:val="both"/>
        <w:textAlignment w:val="baseline"/>
        <w:rPr>
          <w:rFonts w:ascii="Arial" w:eastAsia="Times New Roman" w:hAnsi="Arial" w:cs="Arial"/>
          <w:b/>
          <w:bCs/>
          <w:lang w:eastAsia="sl-SI"/>
        </w:rPr>
      </w:pPr>
    </w:p>
    <w:p w:rsidR="00A9054C" w:rsidRPr="00634C27" w:rsidRDefault="0031173E" w:rsidP="0031173E">
      <w:pPr>
        <w:pStyle w:val="Odstavekseznama"/>
        <w:numPr>
          <w:ilvl w:val="0"/>
          <w:numId w:val="17"/>
        </w:numPr>
        <w:spacing w:line="240" w:lineRule="atLeast"/>
        <w:jc w:val="both"/>
        <w:textAlignment w:val="baseline"/>
        <w:rPr>
          <w:rFonts w:ascii="Arial" w:eastAsia="Times New Roman" w:hAnsi="Arial" w:cs="Arial"/>
          <w:b/>
          <w:color w:val="222222"/>
        </w:rPr>
      </w:pPr>
      <w:r w:rsidRPr="00634C27">
        <w:rPr>
          <w:rFonts w:ascii="Arial" w:eastAsia="Times New Roman" w:hAnsi="Arial" w:cs="Arial"/>
          <w:b/>
          <w:color w:val="222222"/>
        </w:rPr>
        <w:t xml:space="preserve"> </w:t>
      </w:r>
      <w:r w:rsidR="00A9054C" w:rsidRPr="00634C27">
        <w:rPr>
          <w:rFonts w:ascii="Arial" w:eastAsia="Times New Roman" w:hAnsi="Arial" w:cs="Arial"/>
          <w:b/>
          <w:color w:val="222222"/>
        </w:rPr>
        <w:t>Optimizacija sistema ogrevanja je skladno z javnim razpisom eden od obveznih treh ukrepov, če se celovita prenova izvaja z usklajeno izvedbo posameznih ukrepov. Ali je pri ukrepu optimizacija sistema ogrevanja potrebno zamenjati vse ventile?</w:t>
      </w:r>
    </w:p>
    <w:p w:rsidR="00A9054C" w:rsidRPr="00634C27" w:rsidRDefault="00A9054C" w:rsidP="00352225">
      <w:pPr>
        <w:spacing w:line="240" w:lineRule="atLeast"/>
        <w:jc w:val="both"/>
        <w:textAlignment w:val="baseline"/>
        <w:rPr>
          <w:rFonts w:ascii="Arial" w:eastAsia="Times New Roman" w:hAnsi="Arial" w:cs="Arial"/>
          <w:b/>
          <w:color w:val="222222"/>
        </w:rPr>
      </w:pPr>
    </w:p>
    <w:p w:rsidR="00A9054C" w:rsidRPr="00634C27" w:rsidRDefault="00A9054C" w:rsidP="00352225">
      <w:pPr>
        <w:spacing w:line="240" w:lineRule="atLeast"/>
        <w:jc w:val="both"/>
        <w:textAlignment w:val="baseline"/>
        <w:rPr>
          <w:rFonts w:ascii="Arial" w:eastAsia="Times New Roman" w:hAnsi="Arial" w:cs="Arial"/>
          <w:bCs/>
          <w:lang w:eastAsia="sl-SI"/>
        </w:rPr>
      </w:pPr>
      <w:r w:rsidRPr="00634C27">
        <w:rPr>
          <w:rFonts w:ascii="Arial" w:eastAsia="Times New Roman" w:hAnsi="Arial" w:cs="Arial"/>
          <w:bCs/>
          <w:lang w:eastAsia="sl-SI"/>
        </w:rPr>
        <w:t xml:space="preserve">Ukrep optimizacija sistema ogrevanja se lahko izvede tudi tako, da se ohrani obstoječe termostatske ventile, če so le-ti ustrezni (skladni z veljavnimi predpisi), kar mora izhajati iz projektne dokumentacije. Iz projekta mora biti razvidna </w:t>
      </w:r>
      <w:proofErr w:type="spellStart"/>
      <w:r w:rsidRPr="00634C27">
        <w:rPr>
          <w:rFonts w:ascii="Arial" w:eastAsia="Times New Roman" w:hAnsi="Arial" w:cs="Arial"/>
          <w:bCs/>
          <w:lang w:eastAsia="sl-SI"/>
        </w:rPr>
        <w:t>prednastavitev</w:t>
      </w:r>
      <w:proofErr w:type="spellEnd"/>
      <w:r w:rsidRPr="00634C27">
        <w:rPr>
          <w:rFonts w:ascii="Arial" w:eastAsia="Times New Roman" w:hAnsi="Arial" w:cs="Arial"/>
          <w:bCs/>
          <w:lang w:eastAsia="sl-SI"/>
        </w:rPr>
        <w:t xml:space="preserve"> novih oziroma tudi obstoječih ustreznih termostatskih ventilov. Izvedba hidravličnega uravnoteženja v okviru ukrepa je obvezna. </w:t>
      </w:r>
      <w:bookmarkStart w:id="1" w:name="_GoBack"/>
      <w:bookmarkEnd w:id="1"/>
    </w:p>
    <w:p w:rsidR="00A9054C" w:rsidRPr="00634C27" w:rsidRDefault="00A9054C" w:rsidP="00352225">
      <w:pPr>
        <w:spacing w:line="240" w:lineRule="atLeast"/>
        <w:jc w:val="both"/>
        <w:textAlignment w:val="baseline"/>
        <w:rPr>
          <w:rFonts w:ascii="Arial" w:eastAsia="Times New Roman" w:hAnsi="Arial" w:cs="Arial"/>
          <w:b/>
          <w:bCs/>
          <w:lang w:eastAsia="sl-SI"/>
        </w:rPr>
      </w:pPr>
    </w:p>
    <w:sectPr w:rsidR="00A9054C" w:rsidRPr="00634C27">
      <w:headerReference w:type="even" r:id="rId9"/>
      <w:headerReference w:type="default" r:id="rId10"/>
      <w:footerReference w:type="even" r:id="rId11"/>
      <w:footerReference w:type="default" r:id="rId12"/>
      <w:headerReference w:type="first" r:id="rId13"/>
      <w:footerReference w:type="first" r:id="rId14"/>
      <w:type w:val="continuous"/>
      <w:pgSz w:w="11900" w:h="16840"/>
      <w:pgMar w:top="226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BA" w:rsidRDefault="0089653B">
      <w:r>
        <w:separator/>
      </w:r>
    </w:p>
  </w:endnote>
  <w:endnote w:type="continuationSeparator" w:id="0">
    <w:p w:rsidR="00C770BA" w:rsidRDefault="0089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C4" w:rsidRDefault="0089653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851C4" w:rsidRDefault="009851C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C4" w:rsidRDefault="009851C4">
    <w:pPr>
      <w:ind w:right="360"/>
      <w:rPr>
        <w:rFonts w:ascii="Arial" w:eastAsia="Arial" w:hAnsi="Arial" w:cs="Arial"/>
        <w:sz w:val="15"/>
        <w:szCs w:val="15"/>
      </w:rPr>
    </w:pPr>
  </w:p>
  <w:p w:rsidR="009851C4" w:rsidRDefault="0089653B">
    <w:pPr>
      <w:pBdr>
        <w:top w:val="nil"/>
        <w:left w:val="nil"/>
        <w:bottom w:val="nil"/>
        <w:right w:val="nil"/>
        <w:between w:val="nil"/>
      </w:pBdr>
      <w:tabs>
        <w:tab w:val="center" w:pos="4680"/>
        <w:tab w:val="right" w:pos="9360"/>
      </w:tabs>
      <w:rPr>
        <w:rFonts w:ascii="Arial" w:eastAsia="Arial" w:hAnsi="Arial" w:cs="Arial"/>
        <w:color w:val="3A4A3E"/>
        <w:sz w:val="15"/>
        <w:szCs w:val="15"/>
      </w:rPr>
    </w:pPr>
    <w:r>
      <w:rPr>
        <w:rFonts w:ascii="Arial" w:eastAsia="Arial" w:hAnsi="Arial" w:cs="Arial"/>
        <w:color w:val="3A4A3E"/>
        <w:sz w:val="15"/>
        <w:szCs w:val="15"/>
      </w:rPr>
      <w:fldChar w:fldCharType="begin"/>
    </w:r>
    <w:r>
      <w:rPr>
        <w:rFonts w:ascii="Arial" w:eastAsia="Arial" w:hAnsi="Arial" w:cs="Arial"/>
        <w:color w:val="3A4A3E"/>
        <w:sz w:val="15"/>
        <w:szCs w:val="15"/>
      </w:rPr>
      <w:instrText>PAGE</w:instrText>
    </w:r>
    <w:r>
      <w:rPr>
        <w:rFonts w:ascii="Arial" w:eastAsia="Arial" w:hAnsi="Arial" w:cs="Arial"/>
        <w:color w:val="3A4A3E"/>
        <w:sz w:val="15"/>
        <w:szCs w:val="15"/>
      </w:rPr>
      <w:fldChar w:fldCharType="separate"/>
    </w:r>
    <w:r w:rsidR="00350426">
      <w:rPr>
        <w:rFonts w:ascii="Arial" w:eastAsia="Arial" w:hAnsi="Arial" w:cs="Arial"/>
        <w:noProof/>
        <w:color w:val="3A4A3E"/>
        <w:sz w:val="15"/>
        <w:szCs w:val="15"/>
      </w:rPr>
      <w:t>2</w:t>
    </w:r>
    <w:r>
      <w:rPr>
        <w:rFonts w:ascii="Arial" w:eastAsia="Arial" w:hAnsi="Arial" w:cs="Arial"/>
        <w:color w:val="3A4A3E"/>
        <w:sz w:val="15"/>
        <w:szCs w:val="15"/>
      </w:rPr>
      <w:fldChar w:fldCharType="end"/>
    </w:r>
  </w:p>
  <w:tbl>
    <w:tblPr>
      <w:tblStyle w:val="a6"/>
      <w:tblW w:w="89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6"/>
      <w:gridCol w:w="7230"/>
    </w:tblGrid>
    <w:tr w:rsidR="009851C4">
      <w:tc>
        <w:tcPr>
          <w:tcW w:w="1696" w:type="dxa"/>
        </w:tcPr>
        <w:p w:rsidR="009851C4" w:rsidRDefault="00C40C02">
          <w:pPr>
            <w:pBdr>
              <w:top w:val="nil"/>
              <w:left w:val="nil"/>
              <w:bottom w:val="nil"/>
              <w:right w:val="nil"/>
              <w:between w:val="nil"/>
            </w:pBdr>
            <w:tabs>
              <w:tab w:val="center" w:pos="4680"/>
              <w:tab w:val="right" w:pos="9360"/>
            </w:tabs>
            <w:spacing w:line="276" w:lineRule="auto"/>
            <w:rPr>
              <w:rFonts w:ascii="Arial" w:eastAsia="Arial" w:hAnsi="Arial" w:cs="Arial"/>
              <w:color w:val="3A4A3E"/>
              <w:sz w:val="15"/>
              <w:szCs w:val="15"/>
            </w:rPr>
          </w:pPr>
          <w:hyperlink r:id="rId1">
            <w:r w:rsidR="0089653B">
              <w:rPr>
                <w:rFonts w:ascii="Arial" w:eastAsia="Arial" w:hAnsi="Arial" w:cs="Arial"/>
                <w:color w:val="3A4A3E"/>
                <w:sz w:val="15"/>
                <w:szCs w:val="15"/>
              </w:rPr>
              <w:t>info@care4climate.si</w:t>
            </w:r>
          </w:hyperlink>
        </w:p>
        <w:p w:rsidR="009851C4" w:rsidRDefault="00C40C02">
          <w:pPr>
            <w:pBdr>
              <w:top w:val="nil"/>
              <w:left w:val="nil"/>
              <w:bottom w:val="nil"/>
              <w:right w:val="nil"/>
              <w:between w:val="nil"/>
            </w:pBdr>
            <w:tabs>
              <w:tab w:val="center" w:pos="4680"/>
              <w:tab w:val="right" w:pos="9360"/>
            </w:tabs>
            <w:spacing w:line="276" w:lineRule="auto"/>
            <w:rPr>
              <w:rFonts w:ascii="Arial" w:eastAsia="Arial" w:hAnsi="Arial" w:cs="Arial"/>
              <w:color w:val="000000"/>
              <w:sz w:val="15"/>
              <w:szCs w:val="15"/>
            </w:rPr>
          </w:pPr>
          <w:hyperlink r:id="rId2">
            <w:r w:rsidR="0089653B">
              <w:rPr>
                <w:rFonts w:ascii="Arial" w:eastAsia="Arial" w:hAnsi="Arial" w:cs="Arial"/>
                <w:color w:val="3A4A3E"/>
                <w:sz w:val="15"/>
                <w:szCs w:val="15"/>
              </w:rPr>
              <w:t>www.care4climate.si</w:t>
            </w:r>
          </w:hyperlink>
        </w:p>
      </w:tc>
      <w:tc>
        <w:tcPr>
          <w:tcW w:w="7230" w:type="dxa"/>
        </w:tcPr>
        <w:p w:rsidR="009851C4" w:rsidRDefault="0089653B">
          <w:pPr>
            <w:rPr>
              <w:rFonts w:ascii="Arial" w:eastAsia="Arial" w:hAnsi="Arial" w:cs="Arial"/>
              <w:color w:val="AFADAD"/>
              <w:sz w:val="15"/>
              <w:szCs w:val="15"/>
            </w:rPr>
          </w:pPr>
          <w:r>
            <w:rPr>
              <w:rFonts w:ascii="Arial" w:eastAsia="Arial" w:hAnsi="Arial" w:cs="Arial"/>
              <w:color w:val="AFADAD"/>
              <w:sz w:val="15"/>
              <w:szCs w:val="15"/>
            </w:rPr>
            <w:t>LIFE IP CARE4CLIMATE (LIFE17 IPC/SI/000007) je integralni projekt, sofinanciran s sredstvi evropskega programa LIFE, sredstev Sklada za podnebne spremembe in sredstvi partnerjev projekta.</w:t>
          </w:r>
        </w:p>
      </w:tc>
    </w:tr>
  </w:tbl>
  <w:p w:rsidR="009851C4" w:rsidRDefault="009851C4">
    <w:pPr>
      <w:pBdr>
        <w:top w:val="nil"/>
        <w:left w:val="nil"/>
        <w:bottom w:val="nil"/>
        <w:right w:val="nil"/>
        <w:between w:val="nil"/>
      </w:pBdr>
      <w:tabs>
        <w:tab w:val="center" w:pos="4680"/>
        <w:tab w:val="right" w:pos="9360"/>
      </w:tabs>
      <w:rPr>
        <w:rFonts w:ascii="Arial" w:eastAsia="Arial" w:hAnsi="Arial" w:cs="Arial"/>
        <w:color w:val="00000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C4" w:rsidRDefault="009851C4">
    <w:pPr>
      <w:widowControl w:val="0"/>
      <w:pBdr>
        <w:top w:val="nil"/>
        <w:left w:val="nil"/>
        <w:bottom w:val="nil"/>
        <w:right w:val="nil"/>
        <w:between w:val="nil"/>
      </w:pBdr>
      <w:spacing w:line="276" w:lineRule="auto"/>
      <w:rPr>
        <w:color w:val="000000"/>
      </w:rPr>
    </w:pPr>
  </w:p>
  <w:tbl>
    <w:tblPr>
      <w:tblStyle w:val="a5"/>
      <w:tblW w:w="89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6"/>
      <w:gridCol w:w="7230"/>
    </w:tblGrid>
    <w:tr w:rsidR="009851C4">
      <w:tc>
        <w:tcPr>
          <w:tcW w:w="1696" w:type="dxa"/>
        </w:tcPr>
        <w:p w:rsidR="009851C4" w:rsidRDefault="00C40C02">
          <w:pPr>
            <w:pBdr>
              <w:top w:val="nil"/>
              <w:left w:val="nil"/>
              <w:bottom w:val="nil"/>
              <w:right w:val="nil"/>
              <w:between w:val="nil"/>
            </w:pBdr>
            <w:tabs>
              <w:tab w:val="center" w:pos="4680"/>
              <w:tab w:val="right" w:pos="9360"/>
            </w:tabs>
            <w:spacing w:line="276" w:lineRule="auto"/>
            <w:rPr>
              <w:rFonts w:ascii="Arial" w:eastAsia="Arial" w:hAnsi="Arial" w:cs="Arial"/>
              <w:color w:val="3A4A3E"/>
              <w:sz w:val="15"/>
              <w:szCs w:val="15"/>
            </w:rPr>
          </w:pPr>
          <w:hyperlink r:id="rId1">
            <w:r w:rsidR="0089653B">
              <w:rPr>
                <w:rFonts w:ascii="Arial" w:eastAsia="Arial" w:hAnsi="Arial" w:cs="Arial"/>
                <w:color w:val="3A4A3E"/>
                <w:sz w:val="15"/>
                <w:szCs w:val="15"/>
              </w:rPr>
              <w:t>info@care4climate.si</w:t>
            </w:r>
          </w:hyperlink>
        </w:p>
        <w:p w:rsidR="009851C4" w:rsidRDefault="00C40C02">
          <w:pPr>
            <w:pBdr>
              <w:top w:val="nil"/>
              <w:left w:val="nil"/>
              <w:bottom w:val="nil"/>
              <w:right w:val="nil"/>
              <w:between w:val="nil"/>
            </w:pBdr>
            <w:tabs>
              <w:tab w:val="center" w:pos="4680"/>
              <w:tab w:val="right" w:pos="9360"/>
            </w:tabs>
            <w:spacing w:line="276" w:lineRule="auto"/>
            <w:rPr>
              <w:rFonts w:ascii="Arial" w:eastAsia="Arial" w:hAnsi="Arial" w:cs="Arial"/>
              <w:color w:val="000000"/>
              <w:sz w:val="15"/>
              <w:szCs w:val="15"/>
            </w:rPr>
          </w:pPr>
          <w:hyperlink r:id="rId2">
            <w:r w:rsidR="0089653B">
              <w:rPr>
                <w:rFonts w:ascii="Arial" w:eastAsia="Arial" w:hAnsi="Arial" w:cs="Arial"/>
                <w:color w:val="3A4A3E"/>
                <w:sz w:val="15"/>
                <w:szCs w:val="15"/>
              </w:rPr>
              <w:t>www.care4climate.si</w:t>
            </w:r>
          </w:hyperlink>
          <w:r w:rsidR="0089653B">
            <w:rPr>
              <w:rFonts w:ascii="Arial" w:eastAsia="Arial" w:hAnsi="Arial" w:cs="Arial"/>
              <w:color w:val="3A4A3E"/>
              <w:sz w:val="15"/>
              <w:szCs w:val="15"/>
            </w:rPr>
            <w:t xml:space="preserve"> </w:t>
          </w:r>
        </w:p>
      </w:tc>
      <w:tc>
        <w:tcPr>
          <w:tcW w:w="7230" w:type="dxa"/>
        </w:tcPr>
        <w:p w:rsidR="009851C4" w:rsidRDefault="0089653B">
          <w:pPr>
            <w:rPr>
              <w:rFonts w:ascii="Arial" w:eastAsia="Arial" w:hAnsi="Arial" w:cs="Arial"/>
              <w:color w:val="AFADAD"/>
              <w:sz w:val="15"/>
              <w:szCs w:val="15"/>
            </w:rPr>
          </w:pPr>
          <w:r>
            <w:rPr>
              <w:rFonts w:ascii="Arial" w:eastAsia="Arial" w:hAnsi="Arial" w:cs="Arial"/>
              <w:color w:val="AFADAD"/>
              <w:sz w:val="15"/>
              <w:szCs w:val="15"/>
            </w:rPr>
            <w:t>LIFE IP CARE4CLIMATE (LIFE17 IPC/SI/000007) je integralni projekt, sofinanciran s sredstvi evropskega programa LIFE, sredstev Sklada za podnebne spremembe in sredstvi partnerjev projekta.</w:t>
          </w:r>
        </w:p>
      </w:tc>
    </w:tr>
  </w:tbl>
  <w:p w:rsidR="009851C4" w:rsidRDefault="009851C4">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BA" w:rsidRDefault="0089653B">
      <w:r>
        <w:separator/>
      </w:r>
    </w:p>
  </w:footnote>
  <w:footnote w:type="continuationSeparator" w:id="0">
    <w:p w:rsidR="00C770BA" w:rsidRDefault="0089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8AF" w:rsidRDefault="003538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C4" w:rsidRDefault="009851C4">
    <w:pPr>
      <w:widowControl w:val="0"/>
      <w:pBdr>
        <w:top w:val="nil"/>
        <w:left w:val="nil"/>
        <w:bottom w:val="nil"/>
        <w:right w:val="nil"/>
        <w:between w:val="nil"/>
      </w:pBdr>
      <w:spacing w:line="276" w:lineRule="auto"/>
      <w:rPr>
        <w:color w:val="000000"/>
        <w:sz w:val="16"/>
        <w:szCs w:val="16"/>
      </w:rPr>
    </w:pPr>
  </w:p>
  <w:tbl>
    <w:tblPr>
      <w:tblStyle w:val="a1"/>
      <w:tblW w:w="901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7"/>
      <w:gridCol w:w="2253"/>
    </w:tblGrid>
    <w:tr w:rsidR="009851C4">
      <w:tc>
        <w:tcPr>
          <w:tcW w:w="6757" w:type="dxa"/>
        </w:tcPr>
        <w:p w:rsidR="009851C4" w:rsidRDefault="0089653B">
          <w:pPr>
            <w:pBdr>
              <w:top w:val="nil"/>
              <w:left w:val="nil"/>
              <w:bottom w:val="nil"/>
              <w:right w:val="nil"/>
              <w:between w:val="nil"/>
            </w:pBdr>
            <w:tabs>
              <w:tab w:val="center" w:pos="4680"/>
              <w:tab w:val="right" w:pos="9360"/>
            </w:tabs>
            <w:rPr>
              <w:color w:val="000000"/>
              <w:sz w:val="16"/>
              <w:szCs w:val="16"/>
            </w:rPr>
          </w:pPr>
          <w:r>
            <w:rPr>
              <w:noProof/>
              <w:color w:val="000000"/>
              <w:sz w:val="16"/>
              <w:szCs w:val="16"/>
            </w:rPr>
            <w:drawing>
              <wp:inline distT="0" distB="0" distL="0" distR="0">
                <wp:extent cx="3888000" cy="29686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88000" cy="296867"/>
                        </a:xfrm>
                        <a:prstGeom prst="rect">
                          <a:avLst/>
                        </a:prstGeom>
                        <a:ln/>
                      </pic:spPr>
                    </pic:pic>
                  </a:graphicData>
                </a:graphic>
              </wp:inline>
            </w:drawing>
          </w:r>
        </w:p>
      </w:tc>
      <w:tc>
        <w:tcPr>
          <w:tcW w:w="2253" w:type="dxa"/>
          <w:vAlign w:val="center"/>
        </w:tcPr>
        <w:p w:rsidR="009851C4" w:rsidRDefault="003538AF">
          <w:pPr>
            <w:pBdr>
              <w:top w:val="nil"/>
              <w:left w:val="nil"/>
              <w:bottom w:val="nil"/>
              <w:right w:val="nil"/>
              <w:between w:val="nil"/>
            </w:pBdr>
            <w:tabs>
              <w:tab w:val="center" w:pos="4680"/>
              <w:tab w:val="right" w:pos="9360"/>
            </w:tabs>
            <w:jc w:val="center"/>
            <w:rPr>
              <w:color w:val="AFADAD"/>
              <w:sz w:val="16"/>
              <w:szCs w:val="16"/>
            </w:rPr>
          </w:pPr>
          <w:r>
            <w:rPr>
              <w:noProof/>
              <w:color w:val="AFADAD"/>
              <w:sz w:val="16"/>
              <w:szCs w:val="16"/>
            </w:rPr>
            <w:drawing>
              <wp:anchor distT="0" distB="0" distL="114300" distR="114300" simplePos="0" relativeHeight="251658240" behindDoc="0" locked="0" layoutInCell="1" allowOverlap="1">
                <wp:simplePos x="0" y="0"/>
                <wp:positionH relativeFrom="margin">
                  <wp:posOffset>0</wp:posOffset>
                </wp:positionH>
                <wp:positionV relativeFrom="margin">
                  <wp:posOffset>-635</wp:posOffset>
                </wp:positionV>
                <wp:extent cx="778510" cy="288290"/>
                <wp:effectExtent l="0" t="0" r="254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O SKLAD horizontalni color.png"/>
                        <pic:cNvPicPr/>
                      </pic:nvPicPr>
                      <pic:blipFill rotWithShape="1">
                        <a:blip r:embed="rId2">
                          <a:extLst>
                            <a:ext uri="{28A0092B-C50C-407E-A947-70E740481C1C}">
                              <a14:useLocalDpi xmlns:a14="http://schemas.microsoft.com/office/drawing/2010/main" val="0"/>
                            </a:ext>
                          </a:extLst>
                        </a:blip>
                        <a:srcRect l="7693" t="16722" b="12813"/>
                        <a:stretch/>
                      </pic:blipFill>
                      <pic:spPr bwMode="auto">
                        <a:xfrm>
                          <a:off x="0" y="0"/>
                          <a:ext cx="778510"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851C4" w:rsidRDefault="009851C4">
    <w:pPr>
      <w:pBdr>
        <w:top w:val="nil"/>
        <w:left w:val="nil"/>
        <w:bottom w:val="nil"/>
        <w:right w:val="nil"/>
        <w:between w:val="nil"/>
      </w:pBdr>
      <w:tabs>
        <w:tab w:val="center" w:pos="4680"/>
        <w:tab w:val="right" w:pos="936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C4" w:rsidRDefault="009851C4">
    <w:pPr>
      <w:widowControl w:val="0"/>
      <w:pBdr>
        <w:top w:val="nil"/>
        <w:left w:val="nil"/>
        <w:bottom w:val="nil"/>
        <w:right w:val="nil"/>
        <w:between w:val="nil"/>
      </w:pBdr>
      <w:spacing w:line="276" w:lineRule="auto"/>
      <w:rPr>
        <w:color w:val="000000"/>
        <w:sz w:val="16"/>
        <w:szCs w:val="16"/>
      </w:rPr>
    </w:pPr>
  </w:p>
  <w:tbl>
    <w:tblPr>
      <w:tblStyle w:val="a2"/>
      <w:tblW w:w="901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7"/>
      <w:gridCol w:w="2253"/>
    </w:tblGrid>
    <w:tr w:rsidR="009851C4">
      <w:tc>
        <w:tcPr>
          <w:tcW w:w="6757" w:type="dxa"/>
        </w:tcPr>
        <w:p w:rsidR="009851C4" w:rsidRDefault="0089653B">
          <w:pPr>
            <w:pBdr>
              <w:top w:val="nil"/>
              <w:left w:val="nil"/>
              <w:bottom w:val="nil"/>
              <w:right w:val="nil"/>
              <w:between w:val="nil"/>
            </w:pBdr>
            <w:tabs>
              <w:tab w:val="center" w:pos="4680"/>
              <w:tab w:val="right" w:pos="9360"/>
            </w:tabs>
            <w:rPr>
              <w:color w:val="000000"/>
              <w:sz w:val="16"/>
              <w:szCs w:val="16"/>
            </w:rPr>
          </w:pPr>
          <w:r>
            <w:rPr>
              <w:noProof/>
              <w:color w:val="000000"/>
              <w:sz w:val="16"/>
              <w:szCs w:val="16"/>
            </w:rPr>
            <w:drawing>
              <wp:inline distT="0" distB="0" distL="0" distR="0">
                <wp:extent cx="3888000" cy="29686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88000" cy="296867"/>
                        </a:xfrm>
                        <a:prstGeom prst="rect">
                          <a:avLst/>
                        </a:prstGeom>
                        <a:ln/>
                      </pic:spPr>
                    </pic:pic>
                  </a:graphicData>
                </a:graphic>
              </wp:inline>
            </w:drawing>
          </w:r>
        </w:p>
      </w:tc>
      <w:tc>
        <w:tcPr>
          <w:tcW w:w="2253" w:type="dxa"/>
          <w:vAlign w:val="center"/>
        </w:tcPr>
        <w:p w:rsidR="009851C4" w:rsidRDefault="0089653B">
          <w:pPr>
            <w:pBdr>
              <w:top w:val="nil"/>
              <w:left w:val="nil"/>
              <w:bottom w:val="nil"/>
              <w:right w:val="nil"/>
              <w:between w:val="nil"/>
            </w:pBdr>
            <w:tabs>
              <w:tab w:val="center" w:pos="4680"/>
              <w:tab w:val="right" w:pos="9360"/>
            </w:tabs>
            <w:jc w:val="center"/>
            <w:rPr>
              <w:color w:val="AFADAD"/>
              <w:sz w:val="16"/>
              <w:szCs w:val="16"/>
            </w:rPr>
          </w:pPr>
          <w:r>
            <w:rPr>
              <w:color w:val="AFADAD"/>
              <w:sz w:val="16"/>
              <w:szCs w:val="16"/>
            </w:rPr>
            <w:t>Logotip podjetja / organizacije</w:t>
          </w:r>
        </w:p>
      </w:tc>
    </w:tr>
  </w:tbl>
  <w:p w:rsidR="009851C4" w:rsidRDefault="009851C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EBF"/>
    <w:multiLevelType w:val="hybridMultilevel"/>
    <w:tmpl w:val="86E21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E506F"/>
    <w:multiLevelType w:val="hybridMultilevel"/>
    <w:tmpl w:val="0B7E3F9E"/>
    <w:lvl w:ilvl="0" w:tplc="4832021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5529"/>
    <w:multiLevelType w:val="hybridMultilevel"/>
    <w:tmpl w:val="D6D2D876"/>
    <w:lvl w:ilvl="0" w:tplc="80D637C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54F796B"/>
    <w:multiLevelType w:val="hybridMultilevel"/>
    <w:tmpl w:val="AFF86C00"/>
    <w:lvl w:ilvl="0" w:tplc="692AFD06">
      <w:start w:val="1"/>
      <w:numFmt w:val="upperLetter"/>
      <w:lvlText w:val="%1 -"/>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181402"/>
    <w:multiLevelType w:val="hybridMultilevel"/>
    <w:tmpl w:val="353A5054"/>
    <w:lvl w:ilvl="0" w:tplc="BE7AE24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02F81"/>
    <w:multiLevelType w:val="hybridMultilevel"/>
    <w:tmpl w:val="DF88E606"/>
    <w:lvl w:ilvl="0" w:tplc="73DC458E">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DA7109"/>
    <w:multiLevelType w:val="hybridMultilevel"/>
    <w:tmpl w:val="5062590A"/>
    <w:lvl w:ilvl="0" w:tplc="19DA1462">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1D7D9F"/>
    <w:multiLevelType w:val="hybridMultilevel"/>
    <w:tmpl w:val="4BE87B70"/>
    <w:lvl w:ilvl="0" w:tplc="BE042D2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983089"/>
    <w:multiLevelType w:val="hybridMultilevel"/>
    <w:tmpl w:val="7D906F0A"/>
    <w:lvl w:ilvl="0" w:tplc="19DA1462">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AF0E94"/>
    <w:multiLevelType w:val="hybridMultilevel"/>
    <w:tmpl w:val="211EBDDC"/>
    <w:lvl w:ilvl="0" w:tplc="3980469C">
      <w:start w:val="1"/>
      <w:numFmt w:val="decimal"/>
      <w:lvlText w:val="%1."/>
      <w:lvlJc w:val="left"/>
      <w:pPr>
        <w:ind w:left="1035" w:hanging="6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632FB"/>
    <w:multiLevelType w:val="hybridMultilevel"/>
    <w:tmpl w:val="502AE2D0"/>
    <w:lvl w:ilvl="0" w:tplc="204C457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EE69AC"/>
    <w:multiLevelType w:val="hybridMultilevel"/>
    <w:tmpl w:val="7CF64722"/>
    <w:lvl w:ilvl="0" w:tplc="79182F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D4E3C"/>
    <w:multiLevelType w:val="multilevel"/>
    <w:tmpl w:val="1108AD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DF7B94"/>
    <w:multiLevelType w:val="hybridMultilevel"/>
    <w:tmpl w:val="39E2EBEE"/>
    <w:lvl w:ilvl="0" w:tplc="BE7AE24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2503"/>
    <w:multiLevelType w:val="hybridMultilevel"/>
    <w:tmpl w:val="6E24EA18"/>
    <w:lvl w:ilvl="0" w:tplc="5678A3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3"/>
  </w:num>
  <w:num w:numId="5">
    <w:abstractNumId w:val="9"/>
  </w:num>
  <w:num w:numId="6">
    <w:abstractNumId w:val="0"/>
  </w:num>
  <w:num w:numId="7">
    <w:abstractNumId w:val="14"/>
  </w:num>
  <w:num w:numId="8">
    <w:abstractNumId w:val="1"/>
  </w:num>
  <w:num w:numId="9">
    <w:abstractNumId w:val="10"/>
  </w:num>
  <w:num w:numId="10">
    <w:abstractNumId w:val="5"/>
  </w:num>
  <w:num w:numId="11">
    <w:abstractNumId w:val="6"/>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C4"/>
    <w:rsid w:val="00005450"/>
    <w:rsid w:val="000464EF"/>
    <w:rsid w:val="00092982"/>
    <w:rsid w:val="000D0404"/>
    <w:rsid w:val="000D1C55"/>
    <w:rsid w:val="00114875"/>
    <w:rsid w:val="00114B34"/>
    <w:rsid w:val="00144CFB"/>
    <w:rsid w:val="0017113E"/>
    <w:rsid w:val="00171A28"/>
    <w:rsid w:val="0017340C"/>
    <w:rsid w:val="001B737E"/>
    <w:rsid w:val="001C5A52"/>
    <w:rsid w:val="001D1BD4"/>
    <w:rsid w:val="001D5039"/>
    <w:rsid w:val="001D5E85"/>
    <w:rsid w:val="001D63DD"/>
    <w:rsid w:val="001E4BFA"/>
    <w:rsid w:val="002018C8"/>
    <w:rsid w:val="002D24FC"/>
    <w:rsid w:val="002E7423"/>
    <w:rsid w:val="0031173E"/>
    <w:rsid w:val="00336D00"/>
    <w:rsid w:val="00350426"/>
    <w:rsid w:val="00352225"/>
    <w:rsid w:val="003538AF"/>
    <w:rsid w:val="003657C8"/>
    <w:rsid w:val="00370EA3"/>
    <w:rsid w:val="00383D84"/>
    <w:rsid w:val="004016CB"/>
    <w:rsid w:val="004370D3"/>
    <w:rsid w:val="00440BD4"/>
    <w:rsid w:val="0044349D"/>
    <w:rsid w:val="00444157"/>
    <w:rsid w:val="0045021E"/>
    <w:rsid w:val="00453286"/>
    <w:rsid w:val="004B32A5"/>
    <w:rsid w:val="004C6681"/>
    <w:rsid w:val="004F1708"/>
    <w:rsid w:val="00545E1B"/>
    <w:rsid w:val="0055010D"/>
    <w:rsid w:val="0055157C"/>
    <w:rsid w:val="0060019F"/>
    <w:rsid w:val="006011A4"/>
    <w:rsid w:val="00634C27"/>
    <w:rsid w:val="00637FF7"/>
    <w:rsid w:val="006556CA"/>
    <w:rsid w:val="00677C41"/>
    <w:rsid w:val="0068114F"/>
    <w:rsid w:val="006A13ED"/>
    <w:rsid w:val="006A587D"/>
    <w:rsid w:val="006A637E"/>
    <w:rsid w:val="006F2481"/>
    <w:rsid w:val="00702FA5"/>
    <w:rsid w:val="0071364D"/>
    <w:rsid w:val="0074471C"/>
    <w:rsid w:val="00771624"/>
    <w:rsid w:val="00781444"/>
    <w:rsid w:val="00790B09"/>
    <w:rsid w:val="0083389F"/>
    <w:rsid w:val="0089653B"/>
    <w:rsid w:val="008C002F"/>
    <w:rsid w:val="00903CA3"/>
    <w:rsid w:val="00925207"/>
    <w:rsid w:val="00933E9C"/>
    <w:rsid w:val="009379F9"/>
    <w:rsid w:val="00961AD2"/>
    <w:rsid w:val="00966C14"/>
    <w:rsid w:val="00982EA8"/>
    <w:rsid w:val="009851C4"/>
    <w:rsid w:val="009939E4"/>
    <w:rsid w:val="009B2FDC"/>
    <w:rsid w:val="009B714D"/>
    <w:rsid w:val="009C0D53"/>
    <w:rsid w:val="009D5242"/>
    <w:rsid w:val="009E7002"/>
    <w:rsid w:val="009F5EC8"/>
    <w:rsid w:val="00A054C6"/>
    <w:rsid w:val="00A247C1"/>
    <w:rsid w:val="00A3261C"/>
    <w:rsid w:val="00A33DB0"/>
    <w:rsid w:val="00A42A0E"/>
    <w:rsid w:val="00A9054C"/>
    <w:rsid w:val="00AC3A0D"/>
    <w:rsid w:val="00AD395F"/>
    <w:rsid w:val="00AE4757"/>
    <w:rsid w:val="00AE7DAA"/>
    <w:rsid w:val="00B11818"/>
    <w:rsid w:val="00B15828"/>
    <w:rsid w:val="00B27447"/>
    <w:rsid w:val="00B50621"/>
    <w:rsid w:val="00B5313D"/>
    <w:rsid w:val="00B65AD2"/>
    <w:rsid w:val="00B70499"/>
    <w:rsid w:val="00B748E1"/>
    <w:rsid w:val="00B836FE"/>
    <w:rsid w:val="00B845C4"/>
    <w:rsid w:val="00BE263F"/>
    <w:rsid w:val="00C371BD"/>
    <w:rsid w:val="00C770BA"/>
    <w:rsid w:val="00C901F9"/>
    <w:rsid w:val="00CA7807"/>
    <w:rsid w:val="00CF4114"/>
    <w:rsid w:val="00CF5E2B"/>
    <w:rsid w:val="00D504C8"/>
    <w:rsid w:val="00D91329"/>
    <w:rsid w:val="00D9306B"/>
    <w:rsid w:val="00DB6B30"/>
    <w:rsid w:val="00DD42D5"/>
    <w:rsid w:val="00DD4441"/>
    <w:rsid w:val="00DF72E4"/>
    <w:rsid w:val="00E55B33"/>
    <w:rsid w:val="00E851FB"/>
    <w:rsid w:val="00EA5725"/>
    <w:rsid w:val="00EB1A57"/>
    <w:rsid w:val="00EF5FCE"/>
    <w:rsid w:val="00F531C2"/>
    <w:rsid w:val="00FB39EC"/>
    <w:rsid w:val="00FC5CDA"/>
    <w:rsid w:val="00FD74A2"/>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37AB87"/>
  <w15:docId w15:val="{872BF79E-527A-43AF-8915-F4F7E25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lang w:val="sl-SI"/>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Glava">
    <w:name w:val="header"/>
    <w:basedOn w:val="Navaden"/>
    <w:link w:val="GlavaZnak"/>
    <w:uiPriority w:val="99"/>
    <w:unhideWhenUsed/>
    <w:rsid w:val="00A054C6"/>
    <w:pPr>
      <w:tabs>
        <w:tab w:val="center" w:pos="4703"/>
        <w:tab w:val="right" w:pos="9406"/>
      </w:tabs>
    </w:pPr>
  </w:style>
  <w:style w:type="character" w:customStyle="1" w:styleId="GlavaZnak">
    <w:name w:val="Glava Znak"/>
    <w:basedOn w:val="Privzetapisavaodstavka"/>
    <w:link w:val="Glava"/>
    <w:uiPriority w:val="99"/>
    <w:rsid w:val="00A054C6"/>
  </w:style>
  <w:style w:type="paragraph" w:styleId="Odstavekseznama">
    <w:name w:val="List Paragraph"/>
    <w:basedOn w:val="Navaden"/>
    <w:uiPriority w:val="34"/>
    <w:qFormat/>
    <w:rsid w:val="00A054C6"/>
    <w:pPr>
      <w:ind w:left="720"/>
      <w:contextualSpacing/>
    </w:pPr>
  </w:style>
  <w:style w:type="paragraph" w:styleId="Navadensplet">
    <w:name w:val="Normal (Web)"/>
    <w:basedOn w:val="Navaden"/>
    <w:uiPriority w:val="99"/>
    <w:semiHidden/>
    <w:unhideWhenUsed/>
    <w:rsid w:val="00114875"/>
    <w:pPr>
      <w:spacing w:before="100" w:beforeAutospacing="1" w:after="100" w:afterAutospacing="1"/>
    </w:pPr>
    <w:rPr>
      <w:rFonts w:ascii="Times New Roman" w:eastAsia="Times New Roman" w:hAnsi="Times New Roman" w:cs="Times New Roman"/>
      <w:lang w:val="en-US"/>
    </w:rPr>
  </w:style>
  <w:style w:type="character" w:styleId="Hiperpovezava">
    <w:name w:val="Hyperlink"/>
    <w:basedOn w:val="Privzetapisavaodstavka"/>
    <w:uiPriority w:val="99"/>
    <w:unhideWhenUsed/>
    <w:rsid w:val="00114875"/>
    <w:rPr>
      <w:color w:val="0000FF"/>
      <w:u w:val="single"/>
    </w:rPr>
  </w:style>
  <w:style w:type="character" w:styleId="Krepko">
    <w:name w:val="Strong"/>
    <w:basedOn w:val="Privzetapisavaodstavka"/>
    <w:uiPriority w:val="22"/>
    <w:qFormat/>
    <w:rsid w:val="00114875"/>
    <w:rPr>
      <w:b/>
      <w:bCs/>
    </w:rPr>
  </w:style>
  <w:style w:type="character" w:styleId="Poudarek">
    <w:name w:val="Emphasis"/>
    <w:basedOn w:val="Privzetapisavaodstavka"/>
    <w:uiPriority w:val="20"/>
    <w:qFormat/>
    <w:rsid w:val="00114875"/>
    <w:rPr>
      <w:i/>
      <w:iCs/>
    </w:rPr>
  </w:style>
  <w:style w:type="character" w:styleId="Nerazreenaomemba">
    <w:name w:val="Unresolved Mention"/>
    <w:basedOn w:val="Privzetapisavaodstavka"/>
    <w:uiPriority w:val="99"/>
    <w:semiHidden/>
    <w:unhideWhenUsed/>
    <w:rsid w:val="0017340C"/>
    <w:rPr>
      <w:color w:val="605E5C"/>
      <w:shd w:val="clear" w:color="auto" w:fill="E1DFDD"/>
    </w:rPr>
  </w:style>
  <w:style w:type="paragraph" w:styleId="Telobesedila2">
    <w:name w:val="Body Text 2"/>
    <w:basedOn w:val="Navaden"/>
    <w:link w:val="Telobesedila2Znak"/>
    <w:uiPriority w:val="99"/>
    <w:rsid w:val="0083389F"/>
    <w:pPr>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83389F"/>
    <w:rPr>
      <w:rFonts w:ascii="Arial" w:eastAsia="Times New Roman" w:hAnsi="Arial" w:cs="Times New Roman"/>
      <w:color w:val="FF0000"/>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3541">
      <w:bodyDiv w:val="1"/>
      <w:marLeft w:val="0"/>
      <w:marRight w:val="0"/>
      <w:marTop w:val="0"/>
      <w:marBottom w:val="0"/>
      <w:divBdr>
        <w:top w:val="none" w:sz="0" w:space="0" w:color="auto"/>
        <w:left w:val="none" w:sz="0" w:space="0" w:color="auto"/>
        <w:bottom w:val="none" w:sz="0" w:space="0" w:color="auto"/>
        <w:right w:val="none" w:sz="0" w:space="0" w:color="auto"/>
      </w:divBdr>
    </w:div>
    <w:div w:id="173304596">
      <w:bodyDiv w:val="1"/>
      <w:marLeft w:val="0"/>
      <w:marRight w:val="0"/>
      <w:marTop w:val="0"/>
      <w:marBottom w:val="0"/>
      <w:divBdr>
        <w:top w:val="none" w:sz="0" w:space="0" w:color="auto"/>
        <w:left w:val="none" w:sz="0" w:space="0" w:color="auto"/>
        <w:bottom w:val="none" w:sz="0" w:space="0" w:color="auto"/>
        <w:right w:val="none" w:sz="0" w:space="0" w:color="auto"/>
      </w:divBdr>
    </w:div>
    <w:div w:id="326593489">
      <w:bodyDiv w:val="1"/>
      <w:marLeft w:val="0"/>
      <w:marRight w:val="0"/>
      <w:marTop w:val="0"/>
      <w:marBottom w:val="0"/>
      <w:divBdr>
        <w:top w:val="none" w:sz="0" w:space="0" w:color="auto"/>
        <w:left w:val="none" w:sz="0" w:space="0" w:color="auto"/>
        <w:bottom w:val="none" w:sz="0" w:space="0" w:color="auto"/>
        <w:right w:val="none" w:sz="0" w:space="0" w:color="auto"/>
      </w:divBdr>
    </w:div>
    <w:div w:id="968168323">
      <w:bodyDiv w:val="1"/>
      <w:marLeft w:val="0"/>
      <w:marRight w:val="0"/>
      <w:marTop w:val="0"/>
      <w:marBottom w:val="0"/>
      <w:divBdr>
        <w:top w:val="none" w:sz="0" w:space="0" w:color="auto"/>
        <w:left w:val="none" w:sz="0" w:space="0" w:color="auto"/>
        <w:bottom w:val="none" w:sz="0" w:space="0" w:color="auto"/>
        <w:right w:val="none" w:sz="0" w:space="0" w:color="auto"/>
      </w:divBdr>
      <w:divsChild>
        <w:div w:id="400059557">
          <w:marLeft w:val="0"/>
          <w:marRight w:val="0"/>
          <w:marTop w:val="0"/>
          <w:marBottom w:val="540"/>
          <w:divBdr>
            <w:top w:val="none" w:sz="0" w:space="0" w:color="auto"/>
            <w:left w:val="none" w:sz="0" w:space="0" w:color="auto"/>
            <w:bottom w:val="none" w:sz="0" w:space="0" w:color="auto"/>
            <w:right w:val="none" w:sz="0" w:space="0" w:color="auto"/>
          </w:divBdr>
        </w:div>
        <w:div w:id="469828918">
          <w:marLeft w:val="0"/>
          <w:marRight w:val="0"/>
          <w:marTop w:val="0"/>
          <w:marBottom w:val="540"/>
          <w:divBdr>
            <w:top w:val="none" w:sz="0" w:space="0" w:color="auto"/>
            <w:left w:val="none" w:sz="0" w:space="0" w:color="auto"/>
            <w:bottom w:val="none" w:sz="0" w:space="0" w:color="auto"/>
            <w:right w:val="none" w:sz="0" w:space="0" w:color="auto"/>
          </w:divBdr>
        </w:div>
        <w:div w:id="2103716811">
          <w:marLeft w:val="0"/>
          <w:marRight w:val="0"/>
          <w:marTop w:val="0"/>
          <w:marBottom w:val="540"/>
          <w:divBdr>
            <w:top w:val="none" w:sz="0" w:space="0" w:color="auto"/>
            <w:left w:val="none" w:sz="0" w:space="0" w:color="auto"/>
            <w:bottom w:val="none" w:sz="0" w:space="0" w:color="auto"/>
            <w:right w:val="none" w:sz="0" w:space="0" w:color="auto"/>
          </w:divBdr>
        </w:div>
        <w:div w:id="607812559">
          <w:marLeft w:val="0"/>
          <w:marRight w:val="0"/>
          <w:marTop w:val="0"/>
          <w:marBottom w:val="540"/>
          <w:divBdr>
            <w:top w:val="none" w:sz="0" w:space="0" w:color="auto"/>
            <w:left w:val="none" w:sz="0" w:space="0" w:color="auto"/>
            <w:bottom w:val="none" w:sz="0" w:space="0" w:color="auto"/>
            <w:right w:val="none" w:sz="0" w:space="0" w:color="auto"/>
          </w:divBdr>
        </w:div>
        <w:div w:id="1630277568">
          <w:marLeft w:val="0"/>
          <w:marRight w:val="0"/>
          <w:marTop w:val="0"/>
          <w:marBottom w:val="540"/>
          <w:divBdr>
            <w:top w:val="none" w:sz="0" w:space="0" w:color="auto"/>
            <w:left w:val="none" w:sz="0" w:space="0" w:color="auto"/>
            <w:bottom w:val="none" w:sz="0" w:space="0" w:color="auto"/>
            <w:right w:val="none" w:sz="0" w:space="0" w:color="auto"/>
          </w:divBdr>
        </w:div>
      </w:divsChild>
    </w:div>
    <w:div w:id="1058671053">
      <w:bodyDiv w:val="1"/>
      <w:marLeft w:val="0"/>
      <w:marRight w:val="0"/>
      <w:marTop w:val="0"/>
      <w:marBottom w:val="0"/>
      <w:divBdr>
        <w:top w:val="none" w:sz="0" w:space="0" w:color="auto"/>
        <w:left w:val="none" w:sz="0" w:space="0" w:color="auto"/>
        <w:bottom w:val="none" w:sz="0" w:space="0" w:color="auto"/>
        <w:right w:val="none" w:sz="0" w:space="0" w:color="auto"/>
      </w:divBdr>
    </w:div>
    <w:div w:id="1129320505">
      <w:bodyDiv w:val="1"/>
      <w:marLeft w:val="0"/>
      <w:marRight w:val="0"/>
      <w:marTop w:val="0"/>
      <w:marBottom w:val="0"/>
      <w:divBdr>
        <w:top w:val="none" w:sz="0" w:space="0" w:color="auto"/>
        <w:left w:val="none" w:sz="0" w:space="0" w:color="auto"/>
        <w:bottom w:val="none" w:sz="0" w:space="0" w:color="auto"/>
        <w:right w:val="none" w:sz="0" w:space="0" w:color="auto"/>
      </w:divBdr>
    </w:div>
    <w:div w:id="1312368709">
      <w:bodyDiv w:val="1"/>
      <w:marLeft w:val="0"/>
      <w:marRight w:val="0"/>
      <w:marTop w:val="0"/>
      <w:marBottom w:val="0"/>
      <w:divBdr>
        <w:top w:val="none" w:sz="0" w:space="0" w:color="auto"/>
        <w:left w:val="none" w:sz="0" w:space="0" w:color="auto"/>
        <w:bottom w:val="none" w:sz="0" w:space="0" w:color="auto"/>
        <w:right w:val="none" w:sz="0" w:space="0" w:color="auto"/>
      </w:divBdr>
    </w:div>
    <w:div w:id="1400131925">
      <w:bodyDiv w:val="1"/>
      <w:marLeft w:val="0"/>
      <w:marRight w:val="0"/>
      <w:marTop w:val="0"/>
      <w:marBottom w:val="0"/>
      <w:divBdr>
        <w:top w:val="none" w:sz="0" w:space="0" w:color="auto"/>
        <w:left w:val="none" w:sz="0" w:space="0" w:color="auto"/>
        <w:bottom w:val="none" w:sz="0" w:space="0" w:color="auto"/>
        <w:right w:val="none" w:sz="0" w:space="0" w:color="auto"/>
      </w:divBdr>
    </w:div>
    <w:div w:id="1404133911">
      <w:bodyDiv w:val="1"/>
      <w:marLeft w:val="0"/>
      <w:marRight w:val="0"/>
      <w:marTop w:val="0"/>
      <w:marBottom w:val="0"/>
      <w:divBdr>
        <w:top w:val="none" w:sz="0" w:space="0" w:color="auto"/>
        <w:left w:val="none" w:sz="0" w:space="0" w:color="auto"/>
        <w:bottom w:val="none" w:sz="0" w:space="0" w:color="auto"/>
        <w:right w:val="none" w:sz="0" w:space="0" w:color="auto"/>
      </w:divBdr>
    </w:div>
    <w:div w:id="1466772564">
      <w:bodyDiv w:val="1"/>
      <w:marLeft w:val="0"/>
      <w:marRight w:val="0"/>
      <w:marTop w:val="0"/>
      <w:marBottom w:val="0"/>
      <w:divBdr>
        <w:top w:val="none" w:sz="0" w:space="0" w:color="auto"/>
        <w:left w:val="none" w:sz="0" w:space="0" w:color="auto"/>
        <w:bottom w:val="none" w:sz="0" w:space="0" w:color="auto"/>
        <w:right w:val="none" w:sz="0" w:space="0" w:color="auto"/>
      </w:divBdr>
    </w:div>
    <w:div w:id="1476143621">
      <w:bodyDiv w:val="1"/>
      <w:marLeft w:val="0"/>
      <w:marRight w:val="0"/>
      <w:marTop w:val="0"/>
      <w:marBottom w:val="0"/>
      <w:divBdr>
        <w:top w:val="none" w:sz="0" w:space="0" w:color="auto"/>
        <w:left w:val="none" w:sz="0" w:space="0" w:color="auto"/>
        <w:bottom w:val="none" w:sz="0" w:space="0" w:color="auto"/>
        <w:right w:val="none" w:sz="0" w:space="0" w:color="auto"/>
      </w:divBdr>
    </w:div>
    <w:div w:id="1525049663">
      <w:bodyDiv w:val="1"/>
      <w:marLeft w:val="0"/>
      <w:marRight w:val="0"/>
      <w:marTop w:val="0"/>
      <w:marBottom w:val="0"/>
      <w:divBdr>
        <w:top w:val="none" w:sz="0" w:space="0" w:color="auto"/>
        <w:left w:val="none" w:sz="0" w:space="0" w:color="auto"/>
        <w:bottom w:val="none" w:sz="0" w:space="0" w:color="auto"/>
        <w:right w:val="none" w:sz="0" w:space="0" w:color="auto"/>
      </w:divBdr>
    </w:div>
    <w:div w:id="1618442122">
      <w:bodyDiv w:val="1"/>
      <w:marLeft w:val="0"/>
      <w:marRight w:val="0"/>
      <w:marTop w:val="0"/>
      <w:marBottom w:val="0"/>
      <w:divBdr>
        <w:top w:val="none" w:sz="0" w:space="0" w:color="auto"/>
        <w:left w:val="none" w:sz="0" w:space="0" w:color="auto"/>
        <w:bottom w:val="none" w:sz="0" w:space="0" w:color="auto"/>
        <w:right w:val="none" w:sz="0" w:space="0" w:color="auto"/>
      </w:divBdr>
    </w:div>
    <w:div w:id="1888179321">
      <w:bodyDiv w:val="1"/>
      <w:marLeft w:val="0"/>
      <w:marRight w:val="0"/>
      <w:marTop w:val="0"/>
      <w:marBottom w:val="0"/>
      <w:divBdr>
        <w:top w:val="none" w:sz="0" w:space="0" w:color="auto"/>
        <w:left w:val="none" w:sz="0" w:space="0" w:color="auto"/>
        <w:bottom w:val="none" w:sz="0" w:space="0" w:color="auto"/>
        <w:right w:val="none" w:sz="0" w:space="0" w:color="auto"/>
      </w:divBdr>
    </w:div>
    <w:div w:id="199540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osklad@ekosklad.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kosklad@ekosklad.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sklad</dc:creator>
  <cp:lastModifiedBy>Tadeja Kovačič</cp:lastModifiedBy>
  <cp:revision>2</cp:revision>
  <dcterms:created xsi:type="dcterms:W3CDTF">2021-11-22T14:26:00Z</dcterms:created>
  <dcterms:modified xsi:type="dcterms:W3CDTF">2021-11-22T14:26:00Z</dcterms:modified>
</cp:coreProperties>
</file>